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922A4D">
      <w:pPr>
        <w:spacing w:line="600" w:lineRule="exact"/>
        <w:jc w:val="center"/>
        <w:rPr>
          <w:rFonts w:hint="eastAsia" w:ascii="方正小标宋简体" w:hAnsi="宋体" w:eastAsia="方正小标宋简体"/>
          <w:color w:val="auto"/>
          <w:sz w:val="44"/>
          <w:szCs w:val="32"/>
          <w:lang w:eastAsia="zh-CN"/>
        </w:rPr>
      </w:pPr>
      <w:r>
        <w:rPr>
          <w:rFonts w:hint="eastAsia" w:ascii="方正小标宋简体" w:hAnsi="宋体" w:eastAsia="方正小标宋简体"/>
          <w:color w:val="auto"/>
          <w:sz w:val="44"/>
          <w:szCs w:val="32"/>
        </w:rPr>
        <w:t>团体标准《</w:t>
      </w:r>
      <w:r>
        <w:rPr>
          <w:rFonts w:hint="eastAsia" w:ascii="方正小标宋简体" w:hAnsi="宋体" w:eastAsia="方正小标宋简体"/>
          <w:color w:val="auto"/>
          <w:sz w:val="44"/>
          <w:szCs w:val="32"/>
          <w:lang w:eastAsia="zh-CN"/>
        </w:rPr>
        <w:t>竹药罐法治疗胃食管反流病技术</w:t>
      </w:r>
    </w:p>
    <w:p w14:paraId="67EFCAD8">
      <w:pPr>
        <w:spacing w:line="600" w:lineRule="exact"/>
        <w:jc w:val="center"/>
        <w:rPr>
          <w:rFonts w:ascii="方正小标宋简体" w:hAnsi="宋体" w:eastAsia="方正小标宋简体"/>
          <w:color w:val="auto"/>
          <w:sz w:val="44"/>
          <w:szCs w:val="32"/>
        </w:rPr>
      </w:pPr>
      <w:r>
        <w:rPr>
          <w:rFonts w:hint="eastAsia" w:ascii="方正小标宋简体" w:hAnsi="宋体" w:eastAsia="方正小标宋简体"/>
          <w:color w:val="auto"/>
          <w:sz w:val="44"/>
          <w:szCs w:val="32"/>
          <w:lang w:eastAsia="zh-CN"/>
        </w:rPr>
        <w:t>规范</w:t>
      </w:r>
      <w:r>
        <w:rPr>
          <w:rFonts w:hint="eastAsia" w:ascii="方正小标宋简体" w:hAnsi="宋体" w:eastAsia="方正小标宋简体"/>
          <w:color w:val="auto"/>
          <w:sz w:val="44"/>
          <w:szCs w:val="32"/>
        </w:rPr>
        <w:t>》（征求意见稿）编制说明</w:t>
      </w:r>
    </w:p>
    <w:p w14:paraId="7545AED6">
      <w:pPr>
        <w:autoSpaceDE w:val="0"/>
        <w:autoSpaceDN w:val="0"/>
        <w:adjustRightInd w:val="0"/>
        <w:spacing w:before="156" w:beforeLines="50" w:after="156" w:afterLines="50" w:line="560" w:lineRule="exact"/>
        <w:ind w:firstLine="640" w:firstLineChars="200"/>
        <w:jc w:val="left"/>
        <w:rPr>
          <w:rFonts w:ascii="黑体" w:hAnsi="黑体" w:eastAsia="黑体" w:cs="仿宋_GB2312"/>
          <w:color w:val="auto"/>
          <w:sz w:val="32"/>
          <w:szCs w:val="32"/>
        </w:rPr>
      </w:pPr>
    </w:p>
    <w:p w14:paraId="0D5136F0">
      <w:pPr>
        <w:autoSpaceDE w:val="0"/>
        <w:autoSpaceDN w:val="0"/>
        <w:adjustRightInd w:val="0"/>
        <w:spacing w:before="156" w:beforeLines="50" w:after="156" w:afterLines="50" w:line="560" w:lineRule="exact"/>
        <w:ind w:firstLine="640" w:firstLineChars="200"/>
        <w:jc w:val="left"/>
        <w:rPr>
          <w:rFonts w:ascii="黑体" w:hAnsi="黑体" w:eastAsia="黑体" w:cs="仿宋_GB2312"/>
          <w:color w:val="auto"/>
          <w:sz w:val="32"/>
          <w:szCs w:val="32"/>
        </w:rPr>
      </w:pPr>
      <w:r>
        <w:rPr>
          <w:rFonts w:hint="eastAsia" w:ascii="黑体" w:hAnsi="黑体" w:eastAsia="黑体" w:cs="仿宋_GB2312"/>
          <w:color w:val="auto"/>
          <w:sz w:val="32"/>
          <w:szCs w:val="32"/>
        </w:rPr>
        <w:t>一、任务来源、起草单位</w:t>
      </w:r>
    </w:p>
    <w:p w14:paraId="7FB55DF0">
      <w:pPr>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根据《广西标准化协会关于下达2024年第一批团体标准制修订项目计划的通知》（桂标协〔2024〕8号）文件精神，由广西中医药大学第一附属医院提出，广西中医药大学第一附属医院、山西省中医药大学附属医院、灵山县中医医院、防城港中医医院</w:t>
      </w:r>
      <w:r>
        <w:rPr>
          <w:rFonts w:hint="eastAsia" w:ascii="仿宋_GB2312" w:hAnsi="宋体" w:eastAsia="仿宋_GB2312"/>
          <w:color w:val="auto"/>
          <w:sz w:val="32"/>
          <w:szCs w:val="28"/>
          <w:lang w:eastAsia="zh-CN"/>
        </w:rPr>
        <w:t>、</w:t>
      </w:r>
      <w:r>
        <w:rPr>
          <w:rFonts w:hint="eastAsia" w:ascii="仿宋_GB2312" w:hAnsi="宋体" w:eastAsia="仿宋_GB2312"/>
          <w:color w:val="auto"/>
          <w:sz w:val="32"/>
          <w:szCs w:val="28"/>
          <w:lang w:val="en-US" w:eastAsia="zh-CN"/>
        </w:rPr>
        <w:t>桂林市中医医院</w:t>
      </w:r>
      <w:r>
        <w:rPr>
          <w:rFonts w:hint="eastAsia" w:ascii="仿宋_GB2312" w:hAnsi="宋体" w:eastAsia="仿宋_GB2312"/>
          <w:color w:val="auto"/>
          <w:sz w:val="32"/>
          <w:szCs w:val="28"/>
        </w:rPr>
        <w:t>等单位共同起草的团体标准《改良竹药罐法治疗胃食管反流病技术规范》（项目编号：2024-0116）已获批立项。</w:t>
      </w:r>
    </w:p>
    <w:p w14:paraId="6BE1CEB3">
      <w:pPr>
        <w:autoSpaceDE w:val="0"/>
        <w:autoSpaceDN w:val="0"/>
        <w:adjustRightInd w:val="0"/>
        <w:spacing w:before="156" w:beforeLines="50" w:after="156" w:afterLines="50" w:line="560" w:lineRule="exact"/>
        <w:ind w:firstLine="640" w:firstLineChars="200"/>
        <w:jc w:val="left"/>
        <w:rPr>
          <w:rFonts w:ascii="黑体" w:hAnsi="黑体" w:eastAsia="黑体" w:cs="仿宋_GB2312"/>
          <w:color w:val="auto"/>
          <w:sz w:val="32"/>
          <w:szCs w:val="32"/>
        </w:rPr>
      </w:pPr>
      <w:r>
        <w:rPr>
          <w:rFonts w:hint="eastAsia" w:ascii="黑体" w:hAnsi="黑体" w:eastAsia="黑体" w:cs="仿宋_GB2312"/>
          <w:color w:val="auto"/>
          <w:sz w:val="32"/>
          <w:szCs w:val="32"/>
        </w:rPr>
        <w:t>二、制定标准的必要性和意义</w:t>
      </w:r>
    </w:p>
    <w:p w14:paraId="76E8A811">
      <w:pPr>
        <w:autoSpaceDE w:val="0"/>
        <w:autoSpaceDN w:val="0"/>
        <w:adjustRightInd w:val="0"/>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中医药学是中华民族的伟大创造，是中国古代科学的瑰宝，也是打开中华文明宝库的钥匙，为中华民族繁衍生息作出了巨大贡献，对世界文明进步产生了积极影响。2021年3月6日，习近平总书记在看望参加全国政协十三届四次会议的医药卫生界、教育界委员并参加联组会时指出，要做好中医药守正创新、传承发展工作，建立符合中医药特点的服务体系、服务模式、管理模式、人才培养模式，使传统中医药发扬光大。</w:t>
      </w:r>
    </w:p>
    <w:p w14:paraId="749FA3A8">
      <w:pPr>
        <w:autoSpaceDE w:val="0"/>
        <w:autoSpaceDN w:val="0"/>
        <w:adjustRightInd w:val="0"/>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胃食管反流病中医属“胃痞”“嘈杂病”范畴。明代医家张景岳在《景岳全书》中对嘈杂的病因病机及治疗进行详细的论述，他认为“此证有火嘈，有痰嘈，有酸水浸心而嘈”，提出了酸水浸心引发嘈杂的观点，并将嘈杂的病因分为虚实，属虚的有“脾胃虚寒嘈杂者，必多吞酸，或兼恶心，此皆脾虚不能运化滞浊而然，勿得认为火证，妄用寒凉等药”网。</w:t>
      </w:r>
    </w:p>
    <w:p w14:paraId="3FBC329E">
      <w:pPr>
        <w:autoSpaceDE w:val="0"/>
        <w:autoSpaceDN w:val="0"/>
        <w:adjustRightInd w:val="0"/>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根据中医辨证“寒则热之，虚则补之”。研究表明药竹罐疗法可应用于虚寒型脾胃病的治疗，利用药竹罐的温热及药性可达到温中散寒，补脾和胃，缓解患者的临床症状，降低患者的疾病复发率的效果，研究显示运用中医外治法治疗胃食管反流病在临床治疗上取得明显的效果。研究表明中医中药治疗胃食管反流病，应用中药健脾和胃法明显改善患者的症状及证候，本文拟以补脾益气，和胃健脾为治疗法则，拟方黄芪、当归补脾益气，气旺阳亦旺，培补后天之本:白术燥湿健脾，健运中焦:花椒、吴茱萸、干姜温中祛寒，川芎、陈皮行气止痛、健胃消食。竹药罐方法通过中药药液、竹药罐的负压及温热协同作用，三者均通过皮部-经脉-脏腑的途径而达到调理脏腑的功能：同时选取督脉、足太阳膀胱经上的腧穴\任脉上的腧穴\脾经及胃经上的腧穴配伍经络。选择人体背部督脉及足太阳膀胱经，督脉为阳脉之海，总督一身之阳气，具有调动机体阳气升发，宣阳解表、扶正祛邪作用。膀胱经主表，联络肾脏，属膀胱，称之“六经藩篱”，五脏六腑的背俞穴均分布在膀胱经第一侧线上，刺激膀胱经上背俞穴可达到调理五脏六腑功能，任脉循行于胸腹正中，总任一身之阴，称“阴脉之海”，调控全身诸阴经经气活动，胃经属于胃连络脾，联系诸多脏腑器官，调节人体正常活动。脾经属脾络胃，主运化，主统血。因此，在经络及腧穴主治作用的基础上，配合竹药罐罐内蒸汽里的中药，温热负压渗透于皮肤-经络-脏腑，达到温运脾阳、和胃健脾、散寒祛湿的功效。该法具有操作简单、节能减排、无需定时刮灰等优势，应加以规范化、标准化，并向各个医疗机构推广使用，以有效治疗胃食管反流病，减轻患者疼痛，提高大健康水平。</w:t>
      </w:r>
    </w:p>
    <w:p w14:paraId="7A493052">
      <w:pPr>
        <w:autoSpaceDE w:val="0"/>
        <w:autoSpaceDN w:val="0"/>
        <w:adjustRightInd w:val="0"/>
        <w:spacing w:before="156" w:beforeLines="50" w:after="156" w:afterLines="50" w:line="560" w:lineRule="exact"/>
        <w:ind w:firstLine="640" w:firstLineChars="200"/>
        <w:rPr>
          <w:rFonts w:hint="eastAsia" w:ascii="仿宋_GB2312" w:hAnsi="宋体" w:eastAsia="仿宋_GB2312"/>
          <w:color w:val="auto"/>
          <w:sz w:val="32"/>
          <w:szCs w:val="28"/>
          <w:lang w:val="en-US" w:eastAsia="zh-CN"/>
        </w:rPr>
      </w:pPr>
      <w:r>
        <w:rPr>
          <w:rFonts w:hint="eastAsia" w:ascii="仿宋_GB2312" w:hAnsi="宋体" w:eastAsia="仿宋_GB2312"/>
          <w:color w:val="auto"/>
          <w:sz w:val="32"/>
          <w:szCs w:val="28"/>
        </w:rPr>
        <w:t>因此，通过制定团体标准《竹药罐法治疗胃食管反流病技术规范》，以标准为抓手，改善现有操作流程缺乏具体关键环节的不足，为区域内各级中医、中西医医疗机构对该项技术的规范操作提供指引和标准依据，对规范管理，提高学术水平，保持中医药特色优势、保障服务质量安全，更好地传承和发展广西地方特色治疗方法，推动全区中医护理技术操作的规范化高质量发展具有重要意义。</w:t>
      </w:r>
    </w:p>
    <w:p w14:paraId="64CFA7EF">
      <w:pPr>
        <w:autoSpaceDE w:val="0"/>
        <w:autoSpaceDN w:val="0"/>
        <w:adjustRightInd w:val="0"/>
        <w:spacing w:before="156" w:beforeLines="50" w:after="156" w:afterLines="50" w:line="560" w:lineRule="exact"/>
        <w:ind w:firstLine="640" w:firstLineChars="200"/>
        <w:jc w:val="left"/>
        <w:rPr>
          <w:rFonts w:ascii="黑体" w:hAnsi="黑体" w:eastAsia="黑体" w:cs="仿宋_GB2312"/>
          <w:color w:val="auto"/>
          <w:sz w:val="32"/>
          <w:szCs w:val="32"/>
        </w:rPr>
      </w:pPr>
      <w:r>
        <w:rPr>
          <w:rFonts w:hint="eastAsia" w:ascii="黑体" w:hAnsi="黑体" w:eastAsia="黑体" w:cs="仿宋_GB2312"/>
          <w:color w:val="auto"/>
          <w:sz w:val="32"/>
          <w:szCs w:val="32"/>
        </w:rPr>
        <w:t>三、主要起草过程</w:t>
      </w:r>
    </w:p>
    <w:p w14:paraId="0D6A5644">
      <w:pPr>
        <w:spacing w:before="156" w:beforeLines="50" w:after="156" w:afterLines="50" w:line="560" w:lineRule="exact"/>
        <w:ind w:firstLine="643" w:firstLineChars="200"/>
        <w:rPr>
          <w:rFonts w:ascii="楷体" w:hAnsi="楷体" w:eastAsia="楷体"/>
          <w:color w:val="auto"/>
          <w:sz w:val="32"/>
          <w:szCs w:val="28"/>
        </w:rPr>
      </w:pPr>
      <w:r>
        <w:rPr>
          <w:rFonts w:hint="eastAsia" w:ascii="楷体" w:hAnsi="楷体" w:eastAsia="楷体" w:cs="仿宋_GB2312"/>
          <w:b/>
          <w:color w:val="auto"/>
          <w:sz w:val="32"/>
          <w:szCs w:val="28"/>
        </w:rPr>
        <w:t>（一）成立标准编制工作组</w:t>
      </w:r>
    </w:p>
    <w:p w14:paraId="437C2B65">
      <w:pPr>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团体标准《</w:t>
      </w:r>
      <w:r>
        <w:rPr>
          <w:rFonts w:hint="eastAsia" w:ascii="仿宋_GB2312" w:hAnsi="宋体" w:eastAsia="仿宋_GB2312"/>
          <w:color w:val="auto"/>
          <w:sz w:val="32"/>
          <w:szCs w:val="28"/>
          <w:lang w:eastAsia="zh-CN"/>
        </w:rPr>
        <w:t>竹药罐法治疗胃食管反流病技术规范</w:t>
      </w:r>
      <w:r>
        <w:rPr>
          <w:rFonts w:hint="eastAsia" w:ascii="仿宋_GB2312" w:hAnsi="宋体" w:eastAsia="仿宋_GB2312"/>
          <w:color w:val="auto"/>
          <w:sz w:val="32"/>
          <w:szCs w:val="28"/>
        </w:rPr>
        <w:t>》项目任务下达后，广西中医药大学第一附属医院成立了标准编制工作组，起草单位制定了起草编写方案与进度安排，明确任务职责，确定工作技术路线，开展标准研制工作。具体标准编制工作由广西中医药大学第一附属医院、山西省中医药大学附属医院、灵山县中医医院、防城港中医医院</w:t>
      </w:r>
      <w:r>
        <w:rPr>
          <w:rFonts w:hint="eastAsia" w:ascii="仿宋_GB2312" w:hAnsi="宋体" w:eastAsia="仿宋_GB2312"/>
          <w:color w:val="auto"/>
          <w:sz w:val="32"/>
          <w:szCs w:val="28"/>
          <w:lang w:eastAsia="zh-CN"/>
        </w:rPr>
        <w:t>、</w:t>
      </w:r>
      <w:r>
        <w:rPr>
          <w:rFonts w:hint="eastAsia" w:ascii="仿宋_GB2312" w:hAnsi="宋体" w:eastAsia="仿宋_GB2312"/>
          <w:color w:val="auto"/>
          <w:sz w:val="32"/>
          <w:szCs w:val="28"/>
          <w:lang w:val="en-US" w:eastAsia="zh-CN"/>
        </w:rPr>
        <w:t>桂林市中医医院</w:t>
      </w:r>
      <w:r>
        <w:rPr>
          <w:rFonts w:hint="eastAsia" w:ascii="仿宋_GB2312" w:hAnsi="宋体" w:eastAsia="仿宋_GB2312"/>
          <w:color w:val="auto"/>
          <w:sz w:val="32"/>
          <w:szCs w:val="28"/>
        </w:rPr>
        <w:t>等单位负责人组成的标准编制工作组完成。</w:t>
      </w:r>
    </w:p>
    <w:p w14:paraId="0D99A07B">
      <w:pPr>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编制工作组下设三个组，分别是资料收集组、草案编写组、标准实施组。</w:t>
      </w:r>
    </w:p>
    <w:p w14:paraId="59AE398B">
      <w:pPr>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资料收集组负责国内外有关</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的文献资料的查询、收集和整理工作，查阅前人对</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的研究情况。</w:t>
      </w:r>
    </w:p>
    <w:p w14:paraId="0BE25F71">
      <w:pPr>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草案编写组负责起草标准草案、征求意见稿和标准编制说明、送审稿及编制说明的编写工作，包括后期召开征求意见会、网上征求意见，以及标准的不断修改和完善。</w:t>
      </w:r>
    </w:p>
    <w:p w14:paraId="067432A5">
      <w:pPr>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标准实施组负责团体标准《</w:t>
      </w:r>
      <w:r>
        <w:rPr>
          <w:rFonts w:hint="eastAsia" w:ascii="仿宋_GB2312" w:hAnsi="宋体" w:eastAsia="仿宋_GB2312"/>
          <w:color w:val="auto"/>
          <w:sz w:val="32"/>
          <w:szCs w:val="28"/>
          <w:lang w:eastAsia="zh-CN"/>
        </w:rPr>
        <w:t>竹药罐法治疗胃食管反流病技术规范</w:t>
      </w:r>
      <w:r>
        <w:rPr>
          <w:rFonts w:hint="eastAsia" w:ascii="仿宋_GB2312" w:hAnsi="宋体" w:eastAsia="仿宋_GB2312"/>
          <w:color w:val="auto"/>
          <w:sz w:val="32"/>
          <w:szCs w:val="28"/>
        </w:rPr>
        <w:t>》发布后，组织相关企事业单位开展标准宣贯培训会，对标准进行详细解读，让相关人员了解标准，并根据标准对</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进行规范化操作，并对标准实施情况进行总结分析，不断对团体标准提出修正意见。</w:t>
      </w:r>
    </w:p>
    <w:p w14:paraId="32C78715">
      <w:pPr>
        <w:spacing w:before="156" w:beforeLines="50" w:after="156" w:afterLines="50" w:line="560" w:lineRule="exact"/>
        <w:ind w:firstLine="643" w:firstLineChars="200"/>
        <w:rPr>
          <w:rFonts w:ascii="楷体" w:hAnsi="楷体" w:eastAsia="楷体" w:cs="仿宋_GB2312"/>
          <w:b/>
          <w:color w:val="auto"/>
          <w:sz w:val="32"/>
          <w:szCs w:val="28"/>
        </w:rPr>
      </w:pPr>
      <w:r>
        <w:rPr>
          <w:rFonts w:hint="eastAsia" w:ascii="楷体" w:hAnsi="楷体" w:eastAsia="楷体" w:cs="仿宋_GB2312"/>
          <w:b/>
          <w:color w:val="auto"/>
          <w:sz w:val="32"/>
          <w:szCs w:val="28"/>
        </w:rPr>
        <w:t>（二）收集整理文献资料</w:t>
      </w:r>
    </w:p>
    <w:p w14:paraId="2B9611BD">
      <w:pPr>
        <w:ind w:firstLine="640" w:firstLineChars="200"/>
        <w:rPr>
          <w:rFonts w:ascii="仿宋_GB2312" w:hAnsi="宋体" w:eastAsia="仿宋_GB2312"/>
          <w:color w:val="auto"/>
          <w:sz w:val="32"/>
          <w:szCs w:val="28"/>
          <w:lang w:val="fr-FR"/>
        </w:rPr>
      </w:pPr>
      <w:r>
        <w:rPr>
          <w:rFonts w:hint="eastAsia" w:ascii="仿宋_GB2312" w:hAnsi="宋体" w:eastAsia="仿宋_GB2312"/>
          <w:color w:val="auto"/>
          <w:sz w:val="32"/>
          <w:szCs w:val="28"/>
        </w:rPr>
        <w:t>标准编制工作组收集了国内有关</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相关文献资料。主要有</w:t>
      </w:r>
      <w:r>
        <w:rPr>
          <w:rFonts w:hint="eastAsia" w:ascii="仿宋_GB2312" w:hAnsi="宋体" w:eastAsia="仿宋_GB2312"/>
          <w:color w:val="auto"/>
          <w:sz w:val="32"/>
          <w:szCs w:val="28"/>
          <w:lang w:val="fr-FR"/>
        </w:rPr>
        <w:t>：</w:t>
      </w:r>
    </w:p>
    <w:p w14:paraId="39C8769C">
      <w:pPr>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GBT 21709.5-2008</w:t>
      </w:r>
      <w:r>
        <w:rPr>
          <w:rFonts w:hint="eastAsia" w:ascii="仿宋_GB2312" w:hAnsi="宋体" w:eastAsia="仿宋_GB2312"/>
          <w:color w:val="auto"/>
          <w:sz w:val="32"/>
          <w:szCs w:val="28"/>
          <w:lang w:eastAsia="zh-CN"/>
        </w:rPr>
        <w:t>《</w:t>
      </w:r>
      <w:r>
        <w:rPr>
          <w:rFonts w:hint="eastAsia" w:ascii="仿宋_GB2312" w:hAnsi="宋体" w:eastAsia="仿宋_GB2312"/>
          <w:color w:val="auto"/>
          <w:sz w:val="32"/>
          <w:szCs w:val="28"/>
        </w:rPr>
        <w:t>针灸技术操作规范 第5部分：拔罐</w:t>
      </w:r>
      <w:r>
        <w:rPr>
          <w:rFonts w:hint="eastAsia" w:ascii="仿宋_GB2312" w:hAnsi="宋体" w:eastAsia="仿宋_GB2312"/>
          <w:color w:val="auto"/>
          <w:sz w:val="32"/>
          <w:szCs w:val="28"/>
          <w:lang w:eastAsia="zh-CN"/>
        </w:rPr>
        <w:t>》</w:t>
      </w:r>
    </w:p>
    <w:p w14:paraId="28A68833">
      <w:pPr>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DB22/T 3235-2021《胃食管反流病诊断规范》</w:t>
      </w:r>
    </w:p>
    <w:p w14:paraId="008732AF">
      <w:pPr>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自治区中医药局办公室关于印发《中医非药物疗法第二批操作规范（试行）》的通知（桂中医药医发〔2023〕11号）</w:t>
      </w:r>
    </w:p>
    <w:p w14:paraId="314E1539">
      <w:pPr>
        <w:spacing w:before="156" w:beforeLines="50" w:after="156" w:afterLines="50" w:line="560" w:lineRule="exact"/>
        <w:ind w:firstLine="640" w:firstLineChars="200"/>
        <w:rPr>
          <w:rFonts w:hint="eastAsia" w:ascii="仿宋_GB2312" w:hAnsi="宋体" w:eastAsia="仿宋_GB2312"/>
          <w:color w:val="auto"/>
          <w:sz w:val="32"/>
          <w:szCs w:val="28"/>
          <w:lang w:val="en-US" w:eastAsia="zh-CN"/>
        </w:rPr>
      </w:pPr>
      <w:r>
        <w:rPr>
          <w:rFonts w:hint="eastAsia" w:ascii="仿宋_GB2312" w:hAnsi="宋体" w:eastAsia="仿宋_GB2312"/>
          <w:color w:val="auto"/>
          <w:sz w:val="32"/>
          <w:szCs w:val="28"/>
        </w:rPr>
        <w:t>中华医学会消化病学分会</w:t>
      </w:r>
      <w:r>
        <w:rPr>
          <w:rFonts w:hint="eastAsia" w:ascii="仿宋_GB2312" w:hAnsi="宋体" w:eastAsia="仿宋_GB2312"/>
          <w:color w:val="auto"/>
          <w:sz w:val="32"/>
          <w:szCs w:val="28"/>
          <w:lang w:val="en-US" w:eastAsia="zh-CN"/>
        </w:rPr>
        <w:t>.</w:t>
      </w:r>
      <w:r>
        <w:rPr>
          <w:rFonts w:hint="eastAsia" w:ascii="仿宋_GB2312" w:hAnsi="宋体" w:eastAsia="仿宋_GB2312"/>
          <w:color w:val="auto"/>
          <w:sz w:val="32"/>
          <w:szCs w:val="28"/>
        </w:rPr>
        <w:t>2020年中国胃食管反流病专家共识[J].中华消化杂志</w:t>
      </w:r>
      <w:r>
        <w:rPr>
          <w:rFonts w:hint="eastAsia" w:ascii="仿宋_GB2312" w:hAnsi="宋体" w:eastAsia="仿宋_GB2312"/>
          <w:color w:val="auto"/>
          <w:sz w:val="32"/>
          <w:szCs w:val="28"/>
          <w:lang w:val="en-US" w:eastAsia="zh-CN"/>
        </w:rPr>
        <w:t>,2020，40(10).</w:t>
      </w:r>
    </w:p>
    <w:p w14:paraId="43515D94">
      <w:pPr>
        <w:spacing w:before="156" w:beforeLines="50" w:after="156" w:afterLines="50" w:line="560" w:lineRule="exact"/>
        <w:ind w:firstLine="640" w:firstLineChars="200"/>
        <w:rPr>
          <w:rFonts w:hint="eastAsia" w:ascii="仿宋_GB2312" w:hAnsi="宋体" w:eastAsia="仿宋_GB2312"/>
          <w:color w:val="auto"/>
          <w:sz w:val="32"/>
          <w:szCs w:val="28"/>
          <w:lang w:val="en-US" w:eastAsia="zh-CN"/>
        </w:rPr>
      </w:pPr>
      <w:r>
        <w:rPr>
          <w:rFonts w:hint="eastAsia" w:ascii="仿宋_GB2312" w:hAnsi="宋体" w:eastAsia="仿宋_GB2312"/>
          <w:color w:val="auto"/>
          <w:sz w:val="32"/>
          <w:szCs w:val="28"/>
          <w:lang w:val="en-US" w:eastAsia="zh-CN"/>
        </w:rPr>
        <w:t>中国胃食管反流病多学科诊疗共识.中华胃食管反流病电子杂志,2020，07(01):1-1.</w:t>
      </w:r>
    </w:p>
    <w:p w14:paraId="12FB8F9A">
      <w:pPr>
        <w:spacing w:before="156" w:beforeLines="50" w:after="156" w:afterLines="50" w:line="560" w:lineRule="exact"/>
        <w:ind w:firstLine="640" w:firstLineChars="200"/>
        <w:rPr>
          <w:rFonts w:hint="default" w:ascii="仿宋_GB2312" w:hAnsi="宋体" w:eastAsia="仿宋_GB2312"/>
          <w:color w:val="auto"/>
          <w:sz w:val="32"/>
          <w:szCs w:val="28"/>
          <w:lang w:val="en-US" w:eastAsia="zh-CN"/>
        </w:rPr>
      </w:pPr>
      <w:r>
        <w:rPr>
          <w:rFonts w:hint="default" w:ascii="仿宋_GB2312" w:hAnsi="宋体" w:eastAsia="仿宋_GB2312"/>
          <w:color w:val="auto"/>
          <w:sz w:val="32"/>
          <w:szCs w:val="28"/>
          <w:lang w:val="en-US" w:eastAsia="zh-CN"/>
        </w:rPr>
        <w:t>中国医疗保健国际交流促进会胃食管反流病学分会,中国胃食管反流病多学科诊疗共识2022（一）.中华胃食管反流病电子杂志,2022，09(02):51-86.</w:t>
      </w:r>
    </w:p>
    <w:p w14:paraId="48AB8193">
      <w:pPr>
        <w:spacing w:before="156" w:beforeLines="50" w:after="156" w:afterLines="50" w:line="560" w:lineRule="exact"/>
        <w:ind w:firstLine="640" w:firstLineChars="200"/>
        <w:rPr>
          <w:rFonts w:hint="default" w:ascii="仿宋_GB2312" w:hAnsi="宋体" w:eastAsia="仿宋_GB2312"/>
          <w:color w:val="auto"/>
          <w:sz w:val="32"/>
          <w:szCs w:val="28"/>
          <w:lang w:val="en-US" w:eastAsia="zh-CN"/>
        </w:rPr>
      </w:pPr>
      <w:r>
        <w:rPr>
          <w:rFonts w:hint="default" w:ascii="仿宋_GB2312" w:hAnsi="宋体" w:eastAsia="仿宋_GB2312"/>
          <w:color w:val="auto"/>
          <w:sz w:val="32"/>
          <w:szCs w:val="28"/>
          <w:lang w:val="en-US" w:eastAsia="zh-CN"/>
        </w:rPr>
        <w:t>中国医疗保健国际交流促进会胃食管反流病学分会,中国胃食管反流病多学科诊疗共识2022（二）.中华胃食管反流病电子杂志,2022，09(03) : 112-146.</w:t>
      </w:r>
    </w:p>
    <w:p w14:paraId="24D5C07E">
      <w:pPr>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张北华,周秉舵,唐旭东.胃食管反流病中医诊疗专家共识（2023）[J].中医杂志,2023,64(18):1935-1944.</w:t>
      </w:r>
    </w:p>
    <w:p w14:paraId="21E1D7B3">
      <w:pPr>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潘红霞,吕艳,曹云云,等.改良竹药罐法在阳虚质胃食管反流病患者的护理效果观察[J].中医临床研究,2021,13(06):40-42.</w:t>
      </w:r>
    </w:p>
    <w:p w14:paraId="078CBBF5">
      <w:pPr>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彭春妮,潘红霞,吕艳,等.恒温姜疗联合药物罐治疗阳虚质胃食管反流病的疗效观察[J].人人健康,2020,(10):142.</w:t>
      </w:r>
    </w:p>
    <w:p w14:paraId="373342B9">
      <w:pPr>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谢胜主编.五行藏象中医外治疗法.北京：中国中医药出版社，2019，126～127.</w:t>
      </w:r>
    </w:p>
    <w:p w14:paraId="6D155135">
      <w:pPr>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魏雪婷,吴宗豪,李凤珍.壮医药物竹罐疗法临床应用概况[J].中国民族医药杂志,2021,27(09):67-70.</w:t>
      </w:r>
    </w:p>
    <w:p w14:paraId="2AECCA3C">
      <w:pPr>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庞宇舟，黄安.壮医特色外治竹罐疗法：中医健康养生</w:t>
      </w:r>
    </w:p>
    <w:p w14:paraId="476175F0">
      <w:pPr>
        <w:spacing w:before="156" w:beforeLines="50" w:after="156" w:afterLines="50" w:line="560" w:lineRule="exact"/>
        <w:ind w:firstLine="640" w:firstLineChars="200"/>
        <w:rPr>
          <w:rFonts w:hint="eastAsia" w:ascii="仿宋_GB2312" w:hAnsi="宋体" w:eastAsia="仿宋_GB2312"/>
          <w:color w:val="auto"/>
          <w:sz w:val="32"/>
          <w:szCs w:val="28"/>
          <w:lang w:val="en-US" w:eastAsia="zh-CN"/>
        </w:rPr>
      </w:pPr>
      <w:r>
        <w:rPr>
          <w:rFonts w:hint="eastAsia" w:ascii="仿宋_GB2312" w:hAnsi="宋体" w:eastAsia="仿宋_GB2312"/>
          <w:color w:val="auto"/>
          <w:sz w:val="32"/>
          <w:szCs w:val="28"/>
        </w:rPr>
        <w:t>朱光祥,吕艳,潘红霞,等,恒温温经姜疗联合经络拔罐对脾胃岸寒型胃脘痛病人的影响[</w:t>
      </w:r>
      <w:r>
        <w:rPr>
          <w:rFonts w:hint="eastAsia" w:ascii="仿宋_GB2312" w:hAnsi="宋体" w:eastAsia="仿宋_GB2312"/>
          <w:color w:val="auto"/>
          <w:sz w:val="32"/>
          <w:szCs w:val="28"/>
          <w:lang w:val="en-US" w:eastAsia="zh-CN"/>
        </w:rPr>
        <w:t>J]</w:t>
      </w:r>
      <w:r>
        <w:rPr>
          <w:rFonts w:hint="eastAsia" w:ascii="仿宋_GB2312" w:hAnsi="宋体" w:eastAsia="仿宋_GB2312"/>
          <w:color w:val="auto"/>
          <w:sz w:val="32"/>
          <w:szCs w:val="28"/>
        </w:rPr>
        <w:t>,护理研究,2019.33(17);3060-3062</w:t>
      </w:r>
      <w:r>
        <w:rPr>
          <w:rFonts w:hint="eastAsia" w:ascii="仿宋_GB2312" w:hAnsi="宋体" w:eastAsia="仿宋_GB2312"/>
          <w:color w:val="auto"/>
          <w:sz w:val="32"/>
          <w:szCs w:val="28"/>
          <w:lang w:val="en-US" w:eastAsia="zh-CN"/>
        </w:rPr>
        <w:t>.</w:t>
      </w:r>
    </w:p>
    <w:p w14:paraId="18227B4A">
      <w:pPr>
        <w:spacing w:before="156" w:beforeLines="50" w:after="156" w:afterLines="50" w:line="560" w:lineRule="exact"/>
        <w:ind w:firstLine="640" w:firstLineChars="200"/>
        <w:rPr>
          <w:rFonts w:hint="eastAsia" w:ascii="仿宋_GB2312" w:hAnsi="宋体" w:eastAsia="仿宋_GB2312"/>
          <w:color w:val="auto"/>
          <w:sz w:val="32"/>
          <w:szCs w:val="28"/>
          <w:lang w:val="en-US" w:eastAsia="zh-CN"/>
        </w:rPr>
      </w:pPr>
      <w:r>
        <w:rPr>
          <w:rFonts w:hint="eastAsia" w:ascii="仿宋_GB2312" w:hAnsi="宋体" w:eastAsia="仿宋_GB2312"/>
          <w:color w:val="auto"/>
          <w:sz w:val="32"/>
          <w:szCs w:val="28"/>
          <w:lang w:val="en-US" w:eastAsia="zh-CN"/>
        </w:rPr>
        <w:t>孟向文.图解拔罐疗法.北京：中国医药科技出版社，2018,28～29.</w:t>
      </w:r>
    </w:p>
    <w:p w14:paraId="327D196F">
      <w:pPr>
        <w:spacing w:before="156" w:beforeLines="50" w:after="156" w:afterLines="50" w:line="560" w:lineRule="exact"/>
        <w:ind w:firstLine="640" w:firstLineChars="200"/>
        <w:rPr>
          <w:rFonts w:hint="eastAsia" w:ascii="仿宋_GB2312" w:hAnsi="宋体" w:eastAsia="仿宋_GB2312"/>
          <w:color w:val="auto"/>
          <w:sz w:val="32"/>
          <w:szCs w:val="28"/>
          <w:lang w:val="en-US" w:eastAsia="zh-CN"/>
        </w:rPr>
      </w:pPr>
      <w:r>
        <w:rPr>
          <w:rFonts w:hint="eastAsia" w:ascii="仿宋_GB2312" w:hAnsi="宋体" w:eastAsia="仿宋_GB2312"/>
          <w:color w:val="auto"/>
          <w:sz w:val="32"/>
          <w:szCs w:val="28"/>
          <w:lang w:val="en-US" w:eastAsia="zh-CN"/>
        </w:rPr>
        <w:t>郭长青，杜宁宇，赵莉.速学中医拔罐疗法.北京：人民军医出版社，2015，26～28.</w:t>
      </w:r>
    </w:p>
    <w:p w14:paraId="6DB3618C">
      <w:pPr>
        <w:spacing w:before="156" w:beforeLines="50" w:after="156" w:afterLines="50" w:line="560" w:lineRule="exact"/>
        <w:ind w:firstLine="640" w:firstLineChars="200"/>
        <w:rPr>
          <w:rFonts w:hint="eastAsia" w:ascii="仿宋_GB2312" w:hAnsi="宋体" w:eastAsia="仿宋_GB2312"/>
          <w:color w:val="auto"/>
          <w:sz w:val="32"/>
          <w:szCs w:val="28"/>
          <w:lang w:val="en-US" w:eastAsia="zh-CN"/>
        </w:rPr>
      </w:pPr>
      <w:r>
        <w:rPr>
          <w:rFonts w:hint="eastAsia" w:ascii="仿宋_GB2312" w:hAnsi="宋体" w:eastAsia="仿宋_GB2312"/>
          <w:color w:val="auto"/>
          <w:sz w:val="32"/>
          <w:szCs w:val="28"/>
          <w:lang w:val="en-US" w:eastAsia="zh-CN"/>
        </w:rPr>
        <w:t>吕艳，黄晓燕，黄沂.中医特色技术创新及在脾胃病临床应用.北京：中国中医药出版社，2022,107～148.</w:t>
      </w:r>
    </w:p>
    <w:p w14:paraId="73D570FC">
      <w:pPr>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李云. 艾灸联合中医饮食护理在慢性胃炎患者中的应用 [J]. 光明中医, 2024, 39 (11): 2277-2280.</w:t>
      </w:r>
    </w:p>
    <w:p w14:paraId="0015823F">
      <w:pPr>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王丽君. 食管炎患者的中医情志护理及饮食调护 [J]. 人人健康, 2024, (14): 63.</w:t>
      </w:r>
    </w:p>
    <w:p w14:paraId="3C8963B3">
      <w:pPr>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戴贵玲,吕冠华,范颖. 基于“胃以喜为补”理论探讨中医饮食的补养原则 [J]. 湖南中医杂志, 2024, 40 (02): 92-94.</w:t>
      </w:r>
    </w:p>
    <w:p w14:paraId="6957A0F4">
      <w:pPr>
        <w:spacing w:before="156" w:beforeLines="50" w:after="156" w:afterLines="50" w:line="560" w:lineRule="exact"/>
        <w:ind w:firstLine="640" w:firstLineChars="200"/>
        <w:rPr>
          <w:rFonts w:hint="eastAsia" w:ascii="仿宋_GB2312" w:hAnsi="宋体" w:eastAsia="仿宋_GB2312"/>
          <w:color w:val="auto"/>
          <w:sz w:val="32"/>
          <w:szCs w:val="28"/>
        </w:rPr>
      </w:pPr>
      <w:r>
        <w:rPr>
          <w:rFonts w:hint="eastAsia" w:ascii="仿宋_GB2312" w:hAnsi="宋体" w:eastAsia="仿宋_GB2312"/>
          <w:color w:val="auto"/>
          <w:sz w:val="32"/>
          <w:szCs w:val="28"/>
        </w:rPr>
        <w:t>倪荔,李陵君,李丹丹,等. 胃癌术后化疗患者的中医饮食调养 [J]. 人人健康, 2024, (06): 68-69.</w:t>
      </w:r>
    </w:p>
    <w:p w14:paraId="20A79EDC">
      <w:pPr>
        <w:spacing w:before="156" w:beforeLines="50" w:after="156" w:afterLines="50" w:line="560" w:lineRule="exact"/>
        <w:ind w:firstLine="640" w:firstLineChars="200"/>
        <w:rPr>
          <w:rFonts w:hint="eastAsia" w:ascii="仿宋_GB2312" w:hAnsi="宋体" w:eastAsia="仿宋_GB2312"/>
          <w:color w:val="auto"/>
          <w:sz w:val="32"/>
          <w:szCs w:val="28"/>
          <w:lang w:val="en-US" w:eastAsia="zh-CN"/>
        </w:rPr>
      </w:pPr>
      <w:r>
        <w:rPr>
          <w:rFonts w:hint="eastAsia" w:ascii="仿宋_GB2312" w:hAnsi="宋体" w:eastAsia="仿宋_GB2312"/>
          <w:color w:val="auto"/>
          <w:sz w:val="32"/>
          <w:szCs w:val="28"/>
          <w:lang w:val="en-US" w:eastAsia="zh-CN"/>
        </w:rPr>
        <w:t>等等。</w:t>
      </w:r>
      <w:bookmarkStart w:id="3" w:name="_GoBack"/>
      <w:bookmarkEnd w:id="3"/>
    </w:p>
    <w:p w14:paraId="44937C7D">
      <w:pPr>
        <w:spacing w:before="156" w:beforeLines="50" w:after="156" w:afterLines="50" w:line="560" w:lineRule="exact"/>
        <w:ind w:firstLine="643" w:firstLineChars="200"/>
        <w:rPr>
          <w:rFonts w:ascii="楷体" w:hAnsi="楷体" w:eastAsia="楷体" w:cs="仿宋_GB2312"/>
          <w:b/>
          <w:color w:val="auto"/>
          <w:sz w:val="32"/>
          <w:szCs w:val="28"/>
        </w:rPr>
      </w:pPr>
      <w:r>
        <w:rPr>
          <w:rFonts w:hint="eastAsia" w:ascii="楷体" w:hAnsi="楷体" w:eastAsia="楷体" w:cs="仿宋_GB2312"/>
          <w:b/>
          <w:color w:val="auto"/>
          <w:sz w:val="32"/>
          <w:szCs w:val="28"/>
        </w:rPr>
        <w:t>（三）研讨确定标准主体内容</w:t>
      </w:r>
    </w:p>
    <w:p w14:paraId="691B939C">
      <w:pPr>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标准编制工作组在对收集的资料进行整理研究之后，标准编制工作组召开了标准编制会议，对标准的整体框架结构进行了研究，并对标准的关键性内容进行了初步探讨。经过研究，标准的主体内容确定为</w:t>
      </w:r>
      <w:r>
        <w:rPr>
          <w:rFonts w:hint="eastAsia" w:ascii="仿宋_GB2312" w:hAnsi="宋体" w:eastAsia="仿宋_GB2312"/>
          <w:color w:val="auto"/>
          <w:sz w:val="32"/>
          <w:szCs w:val="28"/>
          <w:highlight w:val="none"/>
        </w:rPr>
        <w:t>术语和定义</w:t>
      </w:r>
      <w:r>
        <w:rPr>
          <w:rFonts w:hint="eastAsia" w:ascii="仿宋_GB2312" w:hAnsi="宋体" w:eastAsia="仿宋_GB2312"/>
          <w:color w:val="auto"/>
          <w:sz w:val="32"/>
          <w:szCs w:val="28"/>
          <w:highlight w:val="none"/>
          <w:lang w:eastAsia="zh-CN"/>
        </w:rPr>
        <w:t>、</w:t>
      </w:r>
      <w:r>
        <w:rPr>
          <w:rFonts w:hint="eastAsia" w:ascii="仿宋_GB2312" w:hAnsi="宋体" w:eastAsia="仿宋_GB2312"/>
          <w:color w:val="auto"/>
          <w:sz w:val="32"/>
          <w:szCs w:val="28"/>
          <w:highlight w:val="none"/>
        </w:rPr>
        <w:t>症状、辨证分型、适应症与禁忌症、治疗、不良反应处理、日常调护</w:t>
      </w:r>
      <w:r>
        <w:rPr>
          <w:rFonts w:hint="eastAsia" w:ascii="仿宋_GB2312" w:hAnsi="宋体" w:eastAsia="仿宋_GB2312"/>
          <w:color w:val="auto"/>
          <w:sz w:val="32"/>
          <w:szCs w:val="28"/>
        </w:rPr>
        <w:t>。</w:t>
      </w:r>
    </w:p>
    <w:p w14:paraId="61FABD75">
      <w:pPr>
        <w:spacing w:before="156" w:beforeLines="50" w:after="156" w:afterLines="50" w:line="560" w:lineRule="exact"/>
        <w:ind w:firstLine="643" w:firstLineChars="200"/>
        <w:rPr>
          <w:rFonts w:ascii="楷体" w:hAnsi="楷体" w:eastAsia="楷体" w:cs="仿宋_GB2312"/>
          <w:b/>
          <w:color w:val="auto"/>
          <w:sz w:val="32"/>
          <w:szCs w:val="28"/>
        </w:rPr>
      </w:pPr>
      <w:r>
        <w:rPr>
          <w:rFonts w:hint="eastAsia" w:ascii="楷体" w:hAnsi="楷体" w:eastAsia="楷体" w:cs="仿宋_GB2312"/>
          <w:b/>
          <w:color w:val="auto"/>
          <w:sz w:val="32"/>
          <w:szCs w:val="28"/>
        </w:rPr>
        <w:t>（四）调研及形成草案、征求意见稿</w:t>
      </w:r>
    </w:p>
    <w:p w14:paraId="6B432005">
      <w:pPr>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202</w:t>
      </w:r>
      <w:r>
        <w:rPr>
          <w:rFonts w:ascii="仿宋_GB2312" w:hAnsi="宋体" w:eastAsia="仿宋_GB2312"/>
          <w:color w:val="auto"/>
          <w:sz w:val="32"/>
          <w:szCs w:val="28"/>
        </w:rPr>
        <w:t>4</w:t>
      </w:r>
      <w:r>
        <w:rPr>
          <w:rFonts w:hint="eastAsia" w:ascii="仿宋_GB2312" w:hAnsi="宋体" w:eastAsia="仿宋_GB2312"/>
          <w:color w:val="auto"/>
          <w:sz w:val="32"/>
          <w:szCs w:val="28"/>
        </w:rPr>
        <w:t>年</w:t>
      </w:r>
      <w:r>
        <w:rPr>
          <w:rFonts w:hint="eastAsia" w:ascii="仿宋_GB2312" w:hAnsi="宋体" w:eastAsia="仿宋_GB2312"/>
          <w:color w:val="auto"/>
          <w:sz w:val="32"/>
          <w:szCs w:val="28"/>
          <w:lang w:val="en-US" w:eastAsia="zh-CN"/>
        </w:rPr>
        <w:t>1</w:t>
      </w:r>
      <w:r>
        <w:rPr>
          <w:rFonts w:hint="eastAsia" w:ascii="仿宋_GB2312" w:hAnsi="宋体" w:eastAsia="仿宋_GB2312"/>
          <w:color w:val="auto"/>
          <w:sz w:val="32"/>
          <w:szCs w:val="28"/>
        </w:rPr>
        <w:t>月</w:t>
      </w:r>
      <w:r>
        <w:rPr>
          <w:rFonts w:hint="eastAsia" w:ascii="仿宋_GB2312" w:hAnsi="宋体" w:eastAsia="仿宋_GB2312"/>
          <w:color w:val="auto"/>
          <w:sz w:val="32"/>
          <w:szCs w:val="28"/>
          <w:lang w:val="en-US" w:eastAsia="zh-CN"/>
        </w:rPr>
        <w:t>-3月</w:t>
      </w:r>
      <w:r>
        <w:rPr>
          <w:rFonts w:hint="eastAsia" w:ascii="仿宋_GB2312" w:hAnsi="宋体" w:eastAsia="仿宋_GB2312"/>
          <w:color w:val="auto"/>
          <w:sz w:val="32"/>
          <w:szCs w:val="28"/>
        </w:rPr>
        <w:t>，标准起草工作小组进行了广泛调研工作，查阅了大量的国内外文献资料，对</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的前人研究成果进行系统总结。形成了标准的基本构架，对主要内容进行了讨论并对项目的工作进行了部署和安排。</w:t>
      </w:r>
    </w:p>
    <w:p w14:paraId="09305CF3">
      <w:pPr>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202</w:t>
      </w:r>
      <w:r>
        <w:rPr>
          <w:rFonts w:ascii="仿宋_GB2312" w:hAnsi="宋体" w:eastAsia="仿宋_GB2312"/>
          <w:color w:val="auto"/>
          <w:sz w:val="32"/>
          <w:szCs w:val="28"/>
        </w:rPr>
        <w:t>4</w:t>
      </w:r>
      <w:r>
        <w:rPr>
          <w:rFonts w:hint="eastAsia" w:ascii="仿宋_GB2312" w:hAnsi="宋体" w:eastAsia="仿宋_GB2312"/>
          <w:color w:val="auto"/>
          <w:sz w:val="32"/>
          <w:szCs w:val="28"/>
        </w:rPr>
        <w:t>年</w:t>
      </w:r>
      <w:r>
        <w:rPr>
          <w:rFonts w:hint="eastAsia" w:ascii="仿宋_GB2312" w:hAnsi="宋体" w:eastAsia="仿宋_GB2312"/>
          <w:color w:val="auto"/>
          <w:sz w:val="32"/>
          <w:szCs w:val="28"/>
          <w:lang w:val="en-US" w:eastAsia="zh-CN"/>
        </w:rPr>
        <w:t>4</w:t>
      </w:r>
      <w:r>
        <w:rPr>
          <w:rFonts w:hint="eastAsia" w:ascii="仿宋_GB2312" w:hAnsi="宋体" w:eastAsia="仿宋_GB2312"/>
          <w:color w:val="auto"/>
          <w:sz w:val="32"/>
          <w:szCs w:val="28"/>
        </w:rPr>
        <w:t>月</w:t>
      </w:r>
      <w:r>
        <w:rPr>
          <w:rFonts w:hint="eastAsia" w:ascii="仿宋_GB2312" w:hAnsi="宋体" w:eastAsia="仿宋_GB2312"/>
          <w:color w:val="auto"/>
          <w:sz w:val="32"/>
          <w:szCs w:val="28"/>
          <w:lang w:val="en-US" w:eastAsia="zh-CN"/>
        </w:rPr>
        <w:t>-6月</w:t>
      </w:r>
      <w:r>
        <w:rPr>
          <w:rFonts w:hint="eastAsia" w:ascii="仿宋_GB2312" w:hAnsi="宋体" w:eastAsia="仿宋_GB2312"/>
          <w:color w:val="auto"/>
          <w:sz w:val="32"/>
          <w:szCs w:val="28"/>
        </w:rPr>
        <w:t>，在前期工作的基础之上，通过理清逻辑脉络，整合已有的参考资料中有关</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要求，并结合</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实际要求的基础上，按照简化、统一等原则编制完成团体标准《</w:t>
      </w:r>
      <w:r>
        <w:rPr>
          <w:rFonts w:hint="eastAsia" w:ascii="仿宋_GB2312" w:hAnsi="宋体" w:eastAsia="仿宋_GB2312"/>
          <w:color w:val="auto"/>
          <w:sz w:val="32"/>
          <w:szCs w:val="28"/>
          <w:lang w:eastAsia="zh-CN"/>
        </w:rPr>
        <w:t>竹药罐法治疗胃食管反流病技术规范</w:t>
      </w:r>
      <w:r>
        <w:rPr>
          <w:rFonts w:hint="eastAsia" w:ascii="仿宋_GB2312" w:hAnsi="宋体" w:eastAsia="仿宋_GB2312"/>
          <w:color w:val="auto"/>
          <w:sz w:val="32"/>
          <w:szCs w:val="28"/>
        </w:rPr>
        <w:t>》（草案）。</w:t>
      </w:r>
    </w:p>
    <w:p w14:paraId="1F6A96F1">
      <w:pPr>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202</w:t>
      </w:r>
      <w:r>
        <w:rPr>
          <w:rFonts w:ascii="仿宋_GB2312" w:hAnsi="宋体" w:eastAsia="仿宋_GB2312"/>
          <w:color w:val="auto"/>
          <w:sz w:val="32"/>
          <w:szCs w:val="28"/>
        </w:rPr>
        <w:t>4</w:t>
      </w:r>
      <w:r>
        <w:rPr>
          <w:rFonts w:hint="eastAsia" w:ascii="仿宋_GB2312" w:hAnsi="宋体" w:eastAsia="仿宋_GB2312"/>
          <w:color w:val="auto"/>
          <w:sz w:val="32"/>
          <w:szCs w:val="28"/>
        </w:rPr>
        <w:t>年</w:t>
      </w:r>
      <w:r>
        <w:rPr>
          <w:rFonts w:hint="eastAsia" w:ascii="仿宋_GB2312" w:hAnsi="宋体" w:eastAsia="仿宋_GB2312"/>
          <w:color w:val="auto"/>
          <w:sz w:val="32"/>
          <w:szCs w:val="28"/>
          <w:lang w:val="en-US" w:eastAsia="zh-CN"/>
        </w:rPr>
        <w:t>7月-10</w:t>
      </w:r>
      <w:r>
        <w:rPr>
          <w:rFonts w:hint="eastAsia" w:ascii="仿宋_GB2312" w:hAnsi="宋体" w:eastAsia="仿宋_GB2312"/>
          <w:color w:val="auto"/>
          <w:sz w:val="32"/>
          <w:szCs w:val="28"/>
        </w:rPr>
        <w:t>月，标准起草工作组到</w:t>
      </w:r>
      <w:r>
        <w:rPr>
          <w:rFonts w:ascii="仿宋_GB2312" w:hAnsi="宋体" w:eastAsia="仿宋_GB2312"/>
          <w:color w:val="auto"/>
          <w:sz w:val="32"/>
          <w:szCs w:val="28"/>
        </w:rPr>
        <w:t>相关单位和科研机构进行调研，开展试验验证</w:t>
      </w:r>
      <w:r>
        <w:rPr>
          <w:rFonts w:hint="eastAsia" w:ascii="仿宋_GB2312" w:hAnsi="宋体" w:eastAsia="仿宋_GB2312"/>
          <w:color w:val="auto"/>
          <w:sz w:val="32"/>
          <w:szCs w:val="28"/>
        </w:rPr>
        <w:t>。并实际征求意见，通过收集反馈了大量意见，标准编制工作组多次召开会议，对标准草案进行了反复修改和研究讨论。进一步讨论完善标准草案，形成团体标准《</w:t>
      </w:r>
      <w:r>
        <w:rPr>
          <w:rFonts w:hint="eastAsia" w:ascii="仿宋_GB2312" w:hAnsi="宋体" w:eastAsia="仿宋_GB2312"/>
          <w:color w:val="auto"/>
          <w:sz w:val="32"/>
          <w:szCs w:val="28"/>
          <w:lang w:eastAsia="zh-CN"/>
        </w:rPr>
        <w:t>竹药罐法治疗胃食管反流病技术规范</w:t>
      </w:r>
      <w:r>
        <w:rPr>
          <w:rFonts w:hint="eastAsia" w:ascii="仿宋_GB2312" w:hAnsi="宋体" w:eastAsia="仿宋_GB2312"/>
          <w:color w:val="auto"/>
          <w:sz w:val="32"/>
          <w:szCs w:val="28"/>
        </w:rPr>
        <w:t>》（征求意见稿）和（征求意见稿）编制说明。</w:t>
      </w:r>
    </w:p>
    <w:p w14:paraId="3B832357">
      <w:pPr>
        <w:autoSpaceDE w:val="0"/>
        <w:autoSpaceDN w:val="0"/>
        <w:adjustRightInd w:val="0"/>
        <w:jc w:val="left"/>
        <w:rPr>
          <w:rFonts w:eastAsia="黑体"/>
          <w:bCs/>
          <w:color w:val="auto"/>
          <w:sz w:val="32"/>
          <w:szCs w:val="32"/>
        </w:rPr>
      </w:pPr>
      <w:bookmarkStart w:id="0" w:name="_Toc526940083"/>
      <w:r>
        <w:rPr>
          <w:rFonts w:eastAsia="黑体"/>
          <w:bCs/>
          <w:color w:val="auto"/>
          <w:sz w:val="32"/>
          <w:szCs w:val="32"/>
        </w:rPr>
        <w:t>四、</w:t>
      </w:r>
      <w:bookmarkEnd w:id="0"/>
      <w:r>
        <w:rPr>
          <w:rFonts w:eastAsia="黑体"/>
          <w:bCs/>
          <w:color w:val="auto"/>
          <w:sz w:val="32"/>
          <w:szCs w:val="32"/>
        </w:rPr>
        <w:t>制定标准的原则和依据，与现行法律、法规的关系，与有关国家标准、行业标准的协调情况</w:t>
      </w:r>
    </w:p>
    <w:p w14:paraId="30EFA250">
      <w:pPr>
        <w:pStyle w:val="10"/>
        <w:spacing w:line="560" w:lineRule="exact"/>
        <w:ind w:firstLine="0" w:firstLineChars="0"/>
        <w:outlineLvl w:val="1"/>
        <w:rPr>
          <w:rFonts w:ascii="Times New Roman" w:eastAsia="仿宋"/>
          <w:b/>
          <w:bCs/>
          <w:color w:val="auto"/>
          <w:sz w:val="32"/>
          <w:szCs w:val="32"/>
        </w:rPr>
      </w:pPr>
      <w:r>
        <w:rPr>
          <w:rFonts w:ascii="Times New Roman" w:eastAsia="仿宋"/>
          <w:b/>
          <w:bCs/>
          <w:color w:val="auto"/>
          <w:sz w:val="32"/>
          <w:szCs w:val="32"/>
        </w:rPr>
        <w:t>（一）编制原则</w:t>
      </w:r>
    </w:p>
    <w:p w14:paraId="7432AB81">
      <w:pPr>
        <w:tabs>
          <w:tab w:val="center" w:pos="4201"/>
          <w:tab w:val="right" w:leader="dot" w:pos="9298"/>
        </w:tabs>
        <w:autoSpaceDE w:val="0"/>
        <w:autoSpaceDN w:val="0"/>
        <w:ind w:firstLine="643"/>
        <w:outlineLvl w:val="2"/>
        <w:rPr>
          <w:rFonts w:eastAsia="仿宋"/>
          <w:b/>
          <w:bCs/>
          <w:color w:val="auto"/>
          <w:kern w:val="0"/>
          <w:sz w:val="32"/>
          <w:szCs w:val="32"/>
        </w:rPr>
      </w:pPr>
      <w:r>
        <w:rPr>
          <w:rFonts w:eastAsia="仿宋"/>
          <w:b/>
          <w:bCs/>
          <w:color w:val="auto"/>
          <w:kern w:val="0"/>
          <w:sz w:val="32"/>
          <w:szCs w:val="32"/>
        </w:rPr>
        <w:t>1、实用性原则</w:t>
      </w:r>
    </w:p>
    <w:p w14:paraId="096AD80F">
      <w:pPr>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本文件是在充分收集相关资料和文献，分析</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当前现状，在现有相关</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要求的基础上，结合编制单位</w:t>
      </w:r>
      <w:r>
        <w:rPr>
          <w:rFonts w:ascii="仿宋_GB2312" w:hAnsi="宋体" w:eastAsia="仿宋_GB2312"/>
          <w:color w:val="auto"/>
          <w:sz w:val="32"/>
          <w:szCs w:val="28"/>
        </w:rPr>
        <w:t>多年</w:t>
      </w:r>
      <w:r>
        <w:rPr>
          <w:rFonts w:hint="eastAsia" w:ascii="仿宋_GB2312" w:hAnsi="宋体" w:eastAsia="仿宋_GB2312"/>
          <w:color w:val="auto"/>
          <w:sz w:val="32"/>
          <w:szCs w:val="28"/>
        </w:rPr>
        <w:t>相关经验而总结起草的，符合当前</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发展的方向，具有较强的实用性和可操作性。</w:t>
      </w:r>
    </w:p>
    <w:p w14:paraId="62EF7D35">
      <w:pPr>
        <w:tabs>
          <w:tab w:val="center" w:pos="4201"/>
          <w:tab w:val="right" w:leader="dot" w:pos="9298"/>
        </w:tabs>
        <w:autoSpaceDE w:val="0"/>
        <w:autoSpaceDN w:val="0"/>
        <w:ind w:firstLine="643"/>
        <w:outlineLvl w:val="2"/>
        <w:rPr>
          <w:rFonts w:eastAsia="仿宋"/>
          <w:b/>
          <w:bCs/>
          <w:color w:val="auto"/>
          <w:kern w:val="0"/>
          <w:sz w:val="32"/>
          <w:szCs w:val="32"/>
        </w:rPr>
      </w:pPr>
      <w:r>
        <w:rPr>
          <w:rFonts w:hint="eastAsia" w:eastAsia="仿宋"/>
          <w:b/>
          <w:bCs/>
          <w:color w:val="auto"/>
          <w:kern w:val="0"/>
          <w:sz w:val="32"/>
          <w:szCs w:val="32"/>
        </w:rPr>
        <w:t>2、协调性原则</w:t>
      </w:r>
    </w:p>
    <w:p w14:paraId="18A33837">
      <w:pPr>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本文件编写过程中注意了与</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相关法律法规的协调问题，在内容上与现行法律法规、标准协调一致。</w:t>
      </w:r>
    </w:p>
    <w:p w14:paraId="48B06747">
      <w:pPr>
        <w:tabs>
          <w:tab w:val="center" w:pos="4201"/>
          <w:tab w:val="right" w:leader="dot" w:pos="9298"/>
        </w:tabs>
        <w:autoSpaceDE w:val="0"/>
        <w:autoSpaceDN w:val="0"/>
        <w:ind w:firstLine="643"/>
        <w:outlineLvl w:val="2"/>
        <w:rPr>
          <w:rFonts w:eastAsia="仿宋"/>
          <w:b/>
          <w:bCs/>
          <w:color w:val="auto"/>
          <w:kern w:val="0"/>
          <w:sz w:val="32"/>
          <w:szCs w:val="32"/>
        </w:rPr>
      </w:pPr>
      <w:r>
        <w:rPr>
          <w:rFonts w:hint="eastAsia" w:eastAsia="仿宋"/>
          <w:b/>
          <w:bCs/>
          <w:color w:val="auto"/>
          <w:kern w:val="0"/>
          <w:sz w:val="32"/>
          <w:szCs w:val="32"/>
        </w:rPr>
        <w:t>3、规范性原则</w:t>
      </w:r>
    </w:p>
    <w:p w14:paraId="3276EBB5">
      <w:pPr>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本文件严格参照GB/T 1.1—2020《标准化工作导则  第1部分：标准化文件的结构和起草规则》编写本标准的内容，保证标准的编写质量。</w:t>
      </w:r>
    </w:p>
    <w:p w14:paraId="173D3B39">
      <w:pPr>
        <w:tabs>
          <w:tab w:val="center" w:pos="4201"/>
          <w:tab w:val="right" w:leader="dot" w:pos="9298"/>
        </w:tabs>
        <w:autoSpaceDE w:val="0"/>
        <w:autoSpaceDN w:val="0"/>
        <w:ind w:firstLine="643"/>
        <w:outlineLvl w:val="2"/>
        <w:rPr>
          <w:rFonts w:eastAsia="仿宋"/>
          <w:b/>
          <w:bCs/>
          <w:color w:val="auto"/>
          <w:kern w:val="0"/>
          <w:sz w:val="32"/>
          <w:szCs w:val="32"/>
        </w:rPr>
      </w:pPr>
      <w:r>
        <w:rPr>
          <w:rFonts w:hint="eastAsia" w:eastAsia="仿宋"/>
          <w:b/>
          <w:bCs/>
          <w:color w:val="auto"/>
          <w:kern w:val="0"/>
          <w:sz w:val="32"/>
          <w:szCs w:val="32"/>
        </w:rPr>
        <w:t>4、前瞻性原则</w:t>
      </w:r>
    </w:p>
    <w:p w14:paraId="2315C397">
      <w:pPr>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本文件在兼顾当前区内</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现实情况的同时，还考虑到了</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快速发展的趋势和需要，在标准中体现了个别特色性、前瞻性和先进性条款，作为对</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发展的指导。</w:t>
      </w:r>
    </w:p>
    <w:p w14:paraId="323DB155">
      <w:pPr>
        <w:widowControl/>
        <w:tabs>
          <w:tab w:val="center" w:pos="4201"/>
          <w:tab w:val="right" w:leader="dot" w:pos="9298"/>
        </w:tabs>
        <w:autoSpaceDE w:val="0"/>
        <w:autoSpaceDN w:val="0"/>
        <w:spacing w:line="560" w:lineRule="exact"/>
        <w:outlineLvl w:val="1"/>
        <w:rPr>
          <w:rFonts w:eastAsia="仿宋"/>
          <w:b/>
          <w:bCs/>
          <w:color w:val="auto"/>
          <w:kern w:val="0"/>
          <w:sz w:val="32"/>
          <w:szCs w:val="32"/>
        </w:rPr>
      </w:pPr>
      <w:r>
        <w:rPr>
          <w:rFonts w:eastAsia="仿宋"/>
          <w:b/>
          <w:bCs/>
          <w:color w:val="auto"/>
          <w:kern w:val="0"/>
          <w:sz w:val="32"/>
          <w:szCs w:val="32"/>
        </w:rPr>
        <w:t>（二）编制依据</w:t>
      </w:r>
    </w:p>
    <w:p w14:paraId="03C8CA65">
      <w:pPr>
        <w:ind w:firstLine="640" w:firstLineChars="200"/>
        <w:rPr>
          <w:rFonts w:eastAsia="仿宋"/>
          <w:color w:val="auto"/>
          <w:sz w:val="32"/>
          <w:szCs w:val="32"/>
        </w:rPr>
      </w:pPr>
      <w:r>
        <w:rPr>
          <w:rFonts w:eastAsia="仿宋"/>
          <w:color w:val="auto"/>
          <w:sz w:val="32"/>
          <w:szCs w:val="32"/>
        </w:rPr>
        <w:t>本标准严格按照GB/T 1.1—2020《标准化工作导则  第1部分：标准化文件的结构和起草规则》的规则起草，标准主要内容参考相关标准文件并结合起草单位多年的</w:t>
      </w:r>
      <w:r>
        <w:rPr>
          <w:rFonts w:hint="eastAsia" w:eastAsia="仿宋"/>
          <w:color w:val="auto"/>
          <w:sz w:val="32"/>
          <w:szCs w:val="32"/>
        </w:rPr>
        <w:t>相关</w:t>
      </w:r>
      <w:r>
        <w:rPr>
          <w:rFonts w:eastAsia="仿宋"/>
          <w:color w:val="auto"/>
          <w:sz w:val="32"/>
          <w:szCs w:val="32"/>
        </w:rPr>
        <w:t>经验</w:t>
      </w:r>
      <w:r>
        <w:rPr>
          <w:rFonts w:hint="eastAsia" w:eastAsia="仿宋"/>
          <w:color w:val="auto"/>
          <w:sz w:val="32"/>
          <w:szCs w:val="32"/>
        </w:rPr>
        <w:t>和实践</w:t>
      </w:r>
      <w:r>
        <w:rPr>
          <w:rFonts w:eastAsia="仿宋"/>
          <w:color w:val="auto"/>
          <w:sz w:val="32"/>
          <w:szCs w:val="32"/>
        </w:rPr>
        <w:t>验证情况总结进行起草。</w:t>
      </w:r>
    </w:p>
    <w:p w14:paraId="0A13BA65">
      <w:pPr>
        <w:ind w:firstLine="640" w:firstLineChars="200"/>
        <w:rPr>
          <w:rFonts w:hint="eastAsia" w:eastAsia="仿宋"/>
          <w:color w:val="auto"/>
          <w:sz w:val="32"/>
          <w:szCs w:val="32"/>
          <w:lang w:eastAsia="zh-CN"/>
        </w:rPr>
      </w:pPr>
      <w:r>
        <w:rPr>
          <w:rFonts w:hint="eastAsia" w:eastAsia="仿宋"/>
          <w:color w:val="auto"/>
          <w:sz w:val="32"/>
          <w:szCs w:val="32"/>
        </w:rPr>
        <w:t>拔罐疗法又名“火罐法”“吸筒疗法”，是用各种材质的罐为工具，而竹药罐是采用竹罐器进行拔罐，利用温热作用、燃火等方法使罐内形成负压，从而使罐吸附于人体体表腧穴或阿是点。药液通过渗透皮部方式给药，可避免药物经人体内首过效应和药物在胃肠的降解缓释药、及不良反应等；另外具温热作用药竹罐通过负压变化，促使皮肤角质层吸收药液从而发挥作用；三是竹罐本身的温补功效，可由表至里途径调理脏腑的功能。通过调和阴阳、疏通经络、活血化瘀、温经散寒及消肿止痛等作用，达到防病治病的目的</w:t>
      </w:r>
      <w:r>
        <w:rPr>
          <w:rFonts w:hint="eastAsia" w:eastAsia="仿宋"/>
          <w:color w:val="auto"/>
          <w:sz w:val="32"/>
          <w:szCs w:val="32"/>
          <w:lang w:eastAsia="zh-CN"/>
        </w:rPr>
        <w:t>。竹药罐疗法为壮医特色外治疗法之一，疗效确切，操作简便，无毒副作用，具有“简、便、验、捷”等优势，临床广泛用于内、外、妇科，治疗关节炎疗效突出。</w:t>
      </w:r>
    </w:p>
    <w:p w14:paraId="5382C1AB">
      <w:pPr>
        <w:ind w:firstLine="640" w:firstLineChars="200"/>
        <w:rPr>
          <w:rFonts w:hint="eastAsia" w:eastAsia="仿宋"/>
          <w:color w:val="auto"/>
          <w:sz w:val="32"/>
          <w:szCs w:val="32"/>
          <w:lang w:eastAsia="zh-CN"/>
        </w:rPr>
      </w:pPr>
      <w:r>
        <w:rPr>
          <w:rFonts w:hint="eastAsia" w:eastAsia="仿宋"/>
          <w:color w:val="auto"/>
          <w:sz w:val="32"/>
          <w:szCs w:val="32"/>
          <w:lang w:eastAsia="zh-CN"/>
        </w:rPr>
        <w:t>与其他罐法区别（常用罐具种类、优点与不足）：</w:t>
      </w:r>
    </w:p>
    <w:p w14:paraId="47A9B504">
      <w:pPr>
        <w:ind w:firstLine="640" w:firstLineChars="200"/>
        <w:rPr>
          <w:rFonts w:hint="eastAsia" w:eastAsia="仿宋"/>
          <w:color w:val="auto"/>
          <w:sz w:val="32"/>
          <w:szCs w:val="32"/>
          <w:lang w:eastAsia="zh-CN"/>
        </w:rPr>
      </w:pPr>
      <w:r>
        <w:rPr>
          <w:rFonts w:hint="eastAsia" w:eastAsia="仿宋"/>
          <w:color w:val="auto"/>
          <w:sz w:val="32"/>
          <w:szCs w:val="32"/>
          <w:lang w:eastAsia="zh-CN"/>
        </w:rPr>
        <w:t>从罐具来看，在古代的兽角、竹罐、陶罐、木罐、金属罐的基础上，又增加了玻璃罐、负压抽气塑料罐，以及高档树脂罐和电罐。从古至今拔罐常用的是兽角、竹罐、陶罐、玻璃罐、金属罐、木罐和负压抽气塑料罐等，但中医最常用的是竹罐。</w:t>
      </w:r>
    </w:p>
    <w:p w14:paraId="37D16997">
      <w:pPr>
        <w:ind w:firstLine="640" w:firstLineChars="200"/>
        <w:rPr>
          <w:rFonts w:hint="eastAsia" w:eastAsia="仿宋"/>
          <w:color w:val="auto"/>
          <w:sz w:val="32"/>
          <w:szCs w:val="32"/>
          <w:lang w:eastAsia="zh-CN"/>
        </w:rPr>
      </w:pPr>
      <w:r>
        <w:rPr>
          <w:rFonts w:hint="eastAsia" w:eastAsia="仿宋"/>
          <w:color w:val="auto"/>
          <w:sz w:val="32"/>
          <w:szCs w:val="32"/>
          <w:lang w:eastAsia="zh-CN"/>
        </w:rPr>
        <w:t>1. 兽角  取材于牛、羊及鹿等动物的角，将其底部砍平做罐口，保留角尖。兽角的优点为具有动物本身的属性与功能如温补、清热、解毒等，绿色环保，自然易制，不易摔碎。缺点是容易老化变形、漏气，吸附力不大，取材相对于竹罐来说比较不容易。</w:t>
      </w:r>
    </w:p>
    <w:p w14:paraId="342D9E2B">
      <w:pPr>
        <w:ind w:firstLine="640" w:firstLineChars="200"/>
        <w:rPr>
          <w:rFonts w:hint="eastAsia" w:eastAsia="仿宋"/>
          <w:color w:val="auto"/>
          <w:sz w:val="32"/>
          <w:szCs w:val="32"/>
          <w:lang w:eastAsia="zh-CN"/>
        </w:rPr>
      </w:pPr>
      <w:r>
        <w:rPr>
          <w:rFonts w:hint="eastAsia" w:eastAsia="仿宋"/>
          <w:color w:val="auto"/>
          <w:sz w:val="32"/>
          <w:szCs w:val="32"/>
          <w:lang w:eastAsia="zh-CN"/>
        </w:rPr>
        <w:t>2.竹罐  用直径3～5m坚固无损的竹子，制成6～8cm长的竹管，一端留节做底，另一端做罐口，用刀刮去青皮及内膜，制成形如腰鼓的圆筒。用砂纸磨光，使罐口光滑平正。竹罐的优点为取材较容易（与兽角相比），经济易制，轻巧，不易摔碎。缺点是容易爆裂、漏气，吸附力不大。</w:t>
      </w:r>
    </w:p>
    <w:p w14:paraId="45D41829">
      <w:pPr>
        <w:ind w:firstLine="640" w:firstLineChars="200"/>
        <w:rPr>
          <w:rFonts w:hint="eastAsia" w:eastAsia="仿宋"/>
          <w:color w:val="auto"/>
          <w:sz w:val="32"/>
          <w:szCs w:val="32"/>
          <w:lang w:eastAsia="zh-CN"/>
        </w:rPr>
      </w:pPr>
      <w:r>
        <w:rPr>
          <w:rFonts w:hint="eastAsia" w:eastAsia="仿宋"/>
          <w:color w:val="auto"/>
          <w:sz w:val="32"/>
          <w:szCs w:val="32"/>
          <w:lang w:eastAsia="zh-CN"/>
        </w:rPr>
        <w:t>3.陶罐  用陶土烧制而成，罐口光滑平正，口圆肚大，其状如瓷鼓，也有“小缸”之称。外层涂上黑釉或黄釉，经窑里烧制的称为陶瓷火罐。有大、中、小和特小的几种，最大的罐口直径可达10 cm以上，小的直径可为1.5 cm。其优点是吸附力大，保温效果好，易清洁消毒，经济实用，北方农村多喜用之。缺点：容易摔碎、损坏及体积重；因其不透明，看不见出血量，故不宜用做血罐。</w:t>
      </w:r>
    </w:p>
    <w:p w14:paraId="28242390">
      <w:pPr>
        <w:ind w:firstLine="640" w:firstLineChars="200"/>
        <w:rPr>
          <w:rFonts w:hint="eastAsia" w:eastAsia="仿宋"/>
          <w:color w:val="auto"/>
          <w:sz w:val="32"/>
          <w:szCs w:val="32"/>
          <w:lang w:eastAsia="zh-CN"/>
        </w:rPr>
      </w:pPr>
      <w:r>
        <w:rPr>
          <w:rFonts w:hint="eastAsia" w:eastAsia="仿宋"/>
          <w:color w:val="auto"/>
          <w:sz w:val="32"/>
          <w:szCs w:val="32"/>
          <w:lang w:eastAsia="zh-CN"/>
        </w:rPr>
        <w:t>4.玻璃罐  在陶制罐的基础上，改用玻璃加工而成，使用的是耐热硬质玻璃烧制而成。其形如球状似笆斗，肚大口小，罐口平滑，边缘略突向外，分1、2、3、4、5五种型号，也可用广口罐头瓶代替。优点是质地清晰透明，使用时可以观察所拔部位皮肤充血、瘀血程度，便于随时掌握情况，且罐口光滑吸拔力好。目前已被人们广泛地应用。</w:t>
      </w:r>
    </w:p>
    <w:p w14:paraId="204DB3F9">
      <w:pPr>
        <w:ind w:firstLine="640" w:firstLineChars="200"/>
        <w:rPr>
          <w:rFonts w:hint="eastAsia" w:eastAsia="仿宋"/>
          <w:color w:val="auto"/>
          <w:sz w:val="32"/>
          <w:szCs w:val="32"/>
          <w:lang w:eastAsia="zh-CN"/>
        </w:rPr>
      </w:pPr>
      <w:r>
        <w:rPr>
          <w:rFonts w:hint="eastAsia" w:eastAsia="仿宋"/>
          <w:color w:val="auto"/>
          <w:sz w:val="32"/>
          <w:szCs w:val="32"/>
          <w:lang w:eastAsia="zh-CN"/>
        </w:rPr>
        <w:t>5.金属罐  在古代藏医、蒙医有最早使用金属罐的记载，以铜、铁、铝等金属加工制成，尤以铜质为常见，可采用紫铜、青铜、黄铜等制成。其优点是有铜质的属性与功效优势：铜元素是一种金属化学元素，也是人体所必须的一种微量元素。优点是吸附力强，保温效果好，易清洁消毒。缺点是：体积重、制作成本高、价格贵、传热快易烫伤；不透明不好观察皮肤情况，也看不见出血量，故不宜用用于血罐操作。</w:t>
      </w:r>
    </w:p>
    <w:p w14:paraId="40715A5F">
      <w:pPr>
        <w:ind w:firstLine="640" w:firstLineChars="200"/>
        <w:rPr>
          <w:rFonts w:hint="eastAsia" w:eastAsia="仿宋"/>
          <w:color w:val="auto"/>
          <w:sz w:val="32"/>
          <w:szCs w:val="32"/>
          <w:lang w:eastAsia="zh-CN"/>
        </w:rPr>
      </w:pPr>
      <w:r>
        <w:rPr>
          <w:rFonts w:hint="eastAsia" w:eastAsia="仿宋"/>
          <w:color w:val="auto"/>
          <w:sz w:val="32"/>
          <w:szCs w:val="32"/>
          <w:lang w:eastAsia="zh-CN"/>
        </w:rPr>
        <w:t>6.木罐  用圆木切削而制成，普遍用质地较硬的木材为原料，按玻璃罐、陶罐、竹罐式样制作，做好后用植物油浸泡10天左右，擦净晾干即可使用。优点：具有天然木质的属性功效、轻巧、易消毒，能行走罐、闪罐、提罐、转罐等手法，接触皮肤感到柔和。缺点：不透明，不适合做血罐，罐内维持压力时间较短，长期不用或保管不当时易燥裂。</w:t>
      </w:r>
    </w:p>
    <w:p w14:paraId="0D877132">
      <w:pPr>
        <w:ind w:firstLine="640" w:firstLineChars="200"/>
        <w:rPr>
          <w:rFonts w:hint="eastAsia" w:eastAsia="仿宋"/>
          <w:color w:val="auto"/>
          <w:sz w:val="32"/>
          <w:szCs w:val="32"/>
          <w:lang w:eastAsia="zh-CN"/>
        </w:rPr>
      </w:pPr>
      <w:r>
        <w:rPr>
          <w:rFonts w:hint="eastAsia" w:eastAsia="仿宋"/>
          <w:color w:val="auto"/>
          <w:sz w:val="32"/>
          <w:szCs w:val="32"/>
          <w:lang w:eastAsia="zh-CN"/>
        </w:rPr>
        <w:t>7. 负压抽气塑料罐  仿玻璃罐式样、规格，用塑料制成，属于工业制品。优点是结实，不易损坏，不必备火种及燃料，通过抽吸形成负压及产生吸拔力，便于携带。缺点是负压力不强，无温热感，只能用于吸拔，难以实施其他罐法操作，不能高温消毒及容易老化。</w:t>
      </w:r>
    </w:p>
    <w:p w14:paraId="4909473A">
      <w:pPr>
        <w:widowControl/>
        <w:tabs>
          <w:tab w:val="center" w:pos="4201"/>
          <w:tab w:val="right" w:leader="dot" w:pos="9298"/>
        </w:tabs>
        <w:autoSpaceDE w:val="0"/>
        <w:autoSpaceDN w:val="0"/>
        <w:spacing w:line="560" w:lineRule="exact"/>
        <w:outlineLvl w:val="1"/>
        <w:rPr>
          <w:rFonts w:eastAsia="仿宋"/>
          <w:b/>
          <w:bCs/>
          <w:color w:val="auto"/>
          <w:kern w:val="0"/>
          <w:sz w:val="32"/>
          <w:szCs w:val="32"/>
        </w:rPr>
      </w:pPr>
      <w:r>
        <w:rPr>
          <w:rFonts w:eastAsia="仿宋"/>
          <w:b/>
          <w:bCs/>
          <w:color w:val="auto"/>
          <w:kern w:val="0"/>
          <w:sz w:val="32"/>
          <w:szCs w:val="32"/>
        </w:rPr>
        <w:t>（三）与现行法律、法规的关系，与有关国家标准、行业标准的协调情况</w:t>
      </w:r>
    </w:p>
    <w:p w14:paraId="03FE614D">
      <w:pPr>
        <w:ind w:firstLine="640" w:firstLineChars="200"/>
        <w:rPr>
          <w:rFonts w:eastAsia="仿宋"/>
          <w:color w:val="auto"/>
          <w:sz w:val="32"/>
          <w:szCs w:val="32"/>
        </w:rPr>
      </w:pPr>
      <w:r>
        <w:rPr>
          <w:rFonts w:hint="eastAsia" w:eastAsia="仿宋"/>
          <w:color w:val="auto"/>
          <w:sz w:val="32"/>
          <w:szCs w:val="32"/>
        </w:rPr>
        <w:t>本编制工作组承诺本标准内容与各项指标不违反相关法律法规要求，且不低于国家强制性标准、推荐性国家标准和行业标准要求。</w:t>
      </w:r>
    </w:p>
    <w:p w14:paraId="7FA8BB82">
      <w:pPr>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经查阅，与“竹药罐 胃食管反流病”有关的标准有：DB22/T 3235-2021《胃食管反流病诊断规范》，该标准规定了胃食管反流病诊断的总体要求、诊断依据及鉴别诊断，适用于胃食管反流病的诊断。本文件针对胃食管反流病的竹药罐法治疗方法进行规范，填补胃食管反流病治疗的标准空白，有助于传承和推广传统中医疗法，改善胃食管反流病患者的病情，助力全民大健康项向前发展。综上，国内暂未制定有</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相关的标准，因此有必要根据实际情况研制团体标准《</w:t>
      </w:r>
      <w:r>
        <w:rPr>
          <w:rFonts w:hint="eastAsia" w:ascii="仿宋_GB2312" w:hAnsi="宋体" w:eastAsia="仿宋_GB2312"/>
          <w:color w:val="auto"/>
          <w:sz w:val="32"/>
          <w:szCs w:val="28"/>
          <w:lang w:eastAsia="zh-CN"/>
        </w:rPr>
        <w:t>竹药罐法治疗胃食管反流病技术规范</w:t>
      </w:r>
      <w:r>
        <w:rPr>
          <w:rFonts w:hint="eastAsia" w:ascii="仿宋_GB2312" w:hAnsi="宋体" w:eastAsia="仿宋_GB2312"/>
          <w:color w:val="auto"/>
          <w:sz w:val="32"/>
          <w:szCs w:val="28"/>
        </w:rPr>
        <w:t>》，填补</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的标准空白，运用标准化手段指导、规范</w:t>
      </w:r>
      <w:r>
        <w:rPr>
          <w:rFonts w:hint="eastAsia" w:ascii="仿宋_GB2312" w:hAnsi="宋体" w:eastAsia="仿宋_GB2312"/>
          <w:color w:val="auto"/>
          <w:sz w:val="32"/>
          <w:szCs w:val="28"/>
          <w:lang w:eastAsia="zh-CN"/>
        </w:rPr>
        <w:t>竹药罐法治疗胃食管反流病技术</w:t>
      </w:r>
      <w:r>
        <w:rPr>
          <w:rFonts w:hint="eastAsia" w:ascii="仿宋_GB2312" w:hAnsi="宋体" w:eastAsia="仿宋_GB2312"/>
          <w:color w:val="auto"/>
          <w:sz w:val="32"/>
          <w:szCs w:val="28"/>
        </w:rPr>
        <w:t>行业的发展。</w:t>
      </w:r>
    </w:p>
    <w:p w14:paraId="14FD2F15">
      <w:pPr>
        <w:autoSpaceDE w:val="0"/>
        <w:autoSpaceDN w:val="0"/>
        <w:adjustRightInd w:val="0"/>
        <w:spacing w:before="156" w:beforeLines="50" w:after="156" w:afterLines="50" w:line="560" w:lineRule="exact"/>
        <w:ind w:firstLine="640" w:firstLineChars="200"/>
        <w:jc w:val="left"/>
        <w:rPr>
          <w:rFonts w:ascii="黑体" w:hAnsi="黑体" w:eastAsia="黑体" w:cs="仿宋_GB2312"/>
          <w:color w:val="auto"/>
          <w:sz w:val="32"/>
          <w:szCs w:val="32"/>
        </w:rPr>
      </w:pPr>
      <w:bookmarkStart w:id="1" w:name="_Toc526940084"/>
      <w:r>
        <w:rPr>
          <w:rFonts w:hint="eastAsia" w:ascii="黑体" w:hAnsi="黑体" w:eastAsia="黑体" w:cs="仿宋_GB2312"/>
          <w:color w:val="auto"/>
          <w:sz w:val="32"/>
          <w:szCs w:val="32"/>
        </w:rPr>
        <w:t>五、</w:t>
      </w:r>
      <w:bookmarkEnd w:id="1"/>
      <w:r>
        <w:rPr>
          <w:rFonts w:hint="eastAsia" w:ascii="黑体" w:hAnsi="黑体" w:eastAsia="黑体" w:cs="仿宋_GB2312"/>
          <w:color w:val="auto"/>
          <w:sz w:val="32"/>
          <w:szCs w:val="32"/>
        </w:rPr>
        <w:t>主要条款的说明</w:t>
      </w:r>
    </w:p>
    <w:p w14:paraId="2A17FE98">
      <w:pPr>
        <w:ind w:firstLine="640" w:firstLineChars="200"/>
        <w:rPr>
          <w:rFonts w:ascii="仿宋_GB2312" w:hAnsi="宋体" w:eastAsia="仿宋_GB2312"/>
          <w:color w:val="auto"/>
          <w:sz w:val="32"/>
          <w:szCs w:val="32"/>
          <w:highlight w:val="none"/>
          <w:lang w:val="zh-CN"/>
        </w:rPr>
      </w:pPr>
      <w:r>
        <w:rPr>
          <w:rFonts w:hint="eastAsia" w:ascii="仿宋_GB2312" w:hAnsi="宋体" w:eastAsia="仿宋_GB2312"/>
          <w:color w:val="auto"/>
          <w:sz w:val="32"/>
          <w:szCs w:val="32"/>
          <w:highlight w:val="none"/>
          <w:lang w:val="zh-CN"/>
        </w:rPr>
        <w:t>广西中医药大学第一附属医院脾胃病学科近年共承担国家自然科学基金项目12项，广西重点研发项目1项，广西重大专项项目1项，申请项目组均有不同程度参与其中的研究工作，目前已完成6项。主持制定国家级、省级诊疗方案11个。发表论文约250余篇，主编代表性著作7部。分别获得广西科技进步奖三等奖1项，民族医药学会科技进步奖一等奖1项。并实现科技成果转化 6 项，专利分别为《养颜祛斑的中药及其制备方法》、《治疗慢性萎缩性胃炎的中药及其制备方法》、《治疗慢性胃炎的中药及其制备方法》、《治疗早期肝硬化的中药及其制备方法》、《一种碳纤维加热坤土烫熨包》、《叶片加热式无烟艾灸装置》。研发产品34项，其中益气清瘟饮合剂获广西药监局批文。背俞指针疗法纳入国家中医药管理局重点病种诊疗方案、国家中医临床研究基地重点病种研究方案、《消化系统常见病胃食管反流病中医诊疗指南》、《胃食管反流病中医诊疗专家共识意见(2017)》。同时，俞指针疗法纳入国家级、自治区级适宜技术推广项目，在147家医疗机构推广应用。2019年至今，编制单位采用改良竹药罐法治疗阳虚质胃食管反流病患者取得良好的临床疗效。</w:t>
      </w:r>
    </w:p>
    <w:p w14:paraId="72C8ECA8">
      <w:pPr>
        <w:autoSpaceDE w:val="0"/>
        <w:autoSpaceDN w:val="0"/>
        <w:ind w:firstLine="640" w:firstLineChars="200"/>
        <w:jc w:val="both"/>
        <w:rPr>
          <w:rFonts w:hint="eastAsia" w:ascii="仿宋_GB2312" w:hAnsi="宋体" w:eastAsia="仿宋_GB2312" w:cs="Times New Roman"/>
          <w:color w:val="auto"/>
          <w:kern w:val="2"/>
          <w:sz w:val="32"/>
          <w:szCs w:val="32"/>
          <w:highlight w:val="none"/>
          <w:lang w:val="en-US" w:eastAsia="zh-CN" w:bidi="ar-SA"/>
        </w:rPr>
      </w:pPr>
      <w:r>
        <w:rPr>
          <w:rFonts w:hint="eastAsia" w:ascii="仿宋_GB2312" w:hAnsi="宋体" w:eastAsia="仿宋_GB2312" w:cs="Times New Roman"/>
          <w:color w:val="auto"/>
          <w:kern w:val="2"/>
          <w:sz w:val="32"/>
          <w:szCs w:val="32"/>
          <w:highlight w:val="none"/>
          <w:lang w:val="en-US" w:eastAsia="zh-CN" w:bidi="ar-SA"/>
        </w:rPr>
        <w:t>防城港市中医医院自2021年6月开始使用竹药罐法治疗脾胃虚寒/脾胃气虚/痰湿阻滞等证型胃痞病、胃疡病、功能性消化不良等患者。其中2021年共收治相关证型患者共183例；2022年全年共403例；2023年至10月份共388例，具体如下表：</w:t>
      </w:r>
    </w:p>
    <w:tbl>
      <w:tblPr>
        <w:tblStyle w:val="6"/>
        <w:tblpPr w:leftFromText="180" w:rightFromText="180" w:vertAnchor="text" w:horzAnchor="page" w:tblpXSpec="center" w:tblpY="4"/>
        <w:tblOverlap w:val="never"/>
        <w:tblW w:w="4997" w:type="pct"/>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08"/>
        <w:gridCol w:w="1308"/>
        <w:gridCol w:w="1310"/>
        <w:gridCol w:w="1310"/>
        <w:gridCol w:w="1310"/>
        <w:gridCol w:w="1311"/>
        <w:gridCol w:w="1311"/>
      </w:tblGrid>
      <w:tr w14:paraId="407535F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713" w:type="pct"/>
            <w:tcBorders>
              <w:bottom w:val="single" w:color="auto" w:sz="4" w:space="0"/>
            </w:tcBorders>
            <w:shd w:val="clear" w:color="auto" w:fill="auto"/>
            <w:noWrap w:val="0"/>
            <w:vAlign w:val="bottom"/>
          </w:tcPr>
          <w:p w14:paraId="74164083">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年份</w:t>
            </w:r>
          </w:p>
        </w:tc>
        <w:tc>
          <w:tcPr>
            <w:tcW w:w="713" w:type="pct"/>
            <w:tcBorders>
              <w:bottom w:val="single" w:color="auto" w:sz="4" w:space="0"/>
            </w:tcBorders>
            <w:shd w:val="clear" w:color="auto" w:fill="auto"/>
            <w:noWrap w:val="0"/>
            <w:vAlign w:val="bottom"/>
          </w:tcPr>
          <w:p w14:paraId="1BE3F3F1">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总例数</w:t>
            </w:r>
          </w:p>
        </w:tc>
        <w:tc>
          <w:tcPr>
            <w:tcW w:w="714" w:type="pct"/>
            <w:tcBorders>
              <w:bottom w:val="single" w:color="auto" w:sz="4" w:space="0"/>
            </w:tcBorders>
            <w:shd w:val="clear" w:color="auto" w:fill="auto"/>
            <w:noWrap w:val="0"/>
            <w:vAlign w:val="bottom"/>
          </w:tcPr>
          <w:p w14:paraId="2C043075">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男</w:t>
            </w:r>
          </w:p>
        </w:tc>
        <w:tc>
          <w:tcPr>
            <w:tcW w:w="714" w:type="pct"/>
            <w:tcBorders>
              <w:bottom w:val="single" w:color="auto" w:sz="4" w:space="0"/>
            </w:tcBorders>
            <w:shd w:val="clear" w:color="auto" w:fill="auto"/>
            <w:noWrap w:val="0"/>
            <w:vAlign w:val="bottom"/>
          </w:tcPr>
          <w:p w14:paraId="6F1F34DE">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女</w:t>
            </w:r>
          </w:p>
        </w:tc>
        <w:tc>
          <w:tcPr>
            <w:tcW w:w="714" w:type="pct"/>
            <w:tcBorders>
              <w:bottom w:val="single" w:color="auto" w:sz="4" w:space="0"/>
            </w:tcBorders>
            <w:shd w:val="clear" w:color="auto" w:fill="auto"/>
            <w:noWrap w:val="0"/>
            <w:vAlign w:val="bottom"/>
          </w:tcPr>
          <w:p w14:paraId="3DE48254">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无效</w:t>
            </w:r>
          </w:p>
        </w:tc>
        <w:tc>
          <w:tcPr>
            <w:tcW w:w="714" w:type="pct"/>
            <w:tcBorders>
              <w:bottom w:val="single" w:color="auto" w:sz="4" w:space="0"/>
            </w:tcBorders>
            <w:shd w:val="clear" w:color="auto" w:fill="auto"/>
            <w:noWrap w:val="0"/>
            <w:vAlign w:val="bottom"/>
          </w:tcPr>
          <w:p w14:paraId="7D645E39">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有效</w:t>
            </w:r>
          </w:p>
        </w:tc>
        <w:tc>
          <w:tcPr>
            <w:tcW w:w="714" w:type="pct"/>
            <w:tcBorders>
              <w:bottom w:val="single" w:color="auto" w:sz="4" w:space="0"/>
            </w:tcBorders>
            <w:shd w:val="clear" w:color="auto" w:fill="auto"/>
            <w:noWrap w:val="0"/>
            <w:vAlign w:val="bottom"/>
          </w:tcPr>
          <w:p w14:paraId="2B608087">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显效</w:t>
            </w:r>
          </w:p>
        </w:tc>
      </w:tr>
      <w:tr w14:paraId="207DA43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713" w:type="pct"/>
            <w:tcBorders>
              <w:top w:val="single" w:color="auto" w:sz="4" w:space="0"/>
            </w:tcBorders>
            <w:shd w:val="clear" w:color="auto" w:fill="auto"/>
            <w:noWrap w:val="0"/>
            <w:vAlign w:val="bottom"/>
          </w:tcPr>
          <w:p w14:paraId="62E38918">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2021</w:t>
            </w:r>
          </w:p>
        </w:tc>
        <w:tc>
          <w:tcPr>
            <w:tcW w:w="713" w:type="pct"/>
            <w:tcBorders>
              <w:top w:val="single" w:color="auto" w:sz="4" w:space="0"/>
            </w:tcBorders>
            <w:shd w:val="clear" w:color="auto" w:fill="auto"/>
            <w:noWrap w:val="0"/>
            <w:vAlign w:val="bottom"/>
          </w:tcPr>
          <w:p w14:paraId="555AAB52">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183</w:t>
            </w:r>
          </w:p>
        </w:tc>
        <w:tc>
          <w:tcPr>
            <w:tcW w:w="714" w:type="pct"/>
            <w:tcBorders>
              <w:top w:val="single" w:color="auto" w:sz="4" w:space="0"/>
            </w:tcBorders>
            <w:shd w:val="clear" w:color="auto" w:fill="auto"/>
            <w:noWrap w:val="0"/>
            <w:vAlign w:val="bottom"/>
          </w:tcPr>
          <w:p w14:paraId="2CA46C65">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70</w:t>
            </w:r>
          </w:p>
        </w:tc>
        <w:tc>
          <w:tcPr>
            <w:tcW w:w="714" w:type="pct"/>
            <w:tcBorders>
              <w:top w:val="single" w:color="auto" w:sz="4" w:space="0"/>
            </w:tcBorders>
            <w:shd w:val="clear" w:color="auto" w:fill="auto"/>
            <w:noWrap w:val="0"/>
            <w:vAlign w:val="bottom"/>
          </w:tcPr>
          <w:p w14:paraId="252C5041">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113</w:t>
            </w:r>
          </w:p>
        </w:tc>
        <w:tc>
          <w:tcPr>
            <w:tcW w:w="714" w:type="pct"/>
            <w:tcBorders>
              <w:top w:val="single" w:color="auto" w:sz="4" w:space="0"/>
            </w:tcBorders>
            <w:shd w:val="clear" w:color="auto" w:fill="auto"/>
            <w:noWrap w:val="0"/>
            <w:vAlign w:val="bottom"/>
          </w:tcPr>
          <w:p w14:paraId="22F8901F">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10</w:t>
            </w:r>
          </w:p>
        </w:tc>
        <w:tc>
          <w:tcPr>
            <w:tcW w:w="714" w:type="pct"/>
            <w:tcBorders>
              <w:top w:val="single" w:color="auto" w:sz="4" w:space="0"/>
            </w:tcBorders>
            <w:shd w:val="clear" w:color="auto" w:fill="auto"/>
            <w:noWrap w:val="0"/>
            <w:vAlign w:val="bottom"/>
          </w:tcPr>
          <w:p w14:paraId="6A326462">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60</w:t>
            </w:r>
          </w:p>
        </w:tc>
        <w:tc>
          <w:tcPr>
            <w:tcW w:w="714" w:type="pct"/>
            <w:tcBorders>
              <w:top w:val="single" w:color="auto" w:sz="4" w:space="0"/>
            </w:tcBorders>
            <w:shd w:val="clear" w:color="auto" w:fill="auto"/>
            <w:noWrap w:val="0"/>
            <w:vAlign w:val="bottom"/>
          </w:tcPr>
          <w:p w14:paraId="1EAE3766">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113</w:t>
            </w:r>
          </w:p>
        </w:tc>
      </w:tr>
      <w:tr w14:paraId="6CECE52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713" w:type="pct"/>
            <w:shd w:val="clear" w:color="auto" w:fill="auto"/>
            <w:noWrap w:val="0"/>
            <w:vAlign w:val="bottom"/>
          </w:tcPr>
          <w:p w14:paraId="569196E6">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2022</w:t>
            </w:r>
          </w:p>
        </w:tc>
        <w:tc>
          <w:tcPr>
            <w:tcW w:w="713" w:type="pct"/>
            <w:shd w:val="clear" w:color="auto" w:fill="auto"/>
            <w:noWrap w:val="0"/>
            <w:vAlign w:val="bottom"/>
          </w:tcPr>
          <w:p w14:paraId="3E1ECDC9">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403</w:t>
            </w:r>
          </w:p>
        </w:tc>
        <w:tc>
          <w:tcPr>
            <w:tcW w:w="714" w:type="pct"/>
            <w:shd w:val="clear" w:color="auto" w:fill="auto"/>
            <w:noWrap w:val="0"/>
            <w:vAlign w:val="bottom"/>
          </w:tcPr>
          <w:p w14:paraId="0A0FFB85">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162</w:t>
            </w:r>
          </w:p>
        </w:tc>
        <w:tc>
          <w:tcPr>
            <w:tcW w:w="714" w:type="pct"/>
            <w:shd w:val="clear" w:color="auto" w:fill="auto"/>
            <w:noWrap w:val="0"/>
            <w:vAlign w:val="bottom"/>
          </w:tcPr>
          <w:p w14:paraId="50528A42">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241</w:t>
            </w:r>
          </w:p>
        </w:tc>
        <w:tc>
          <w:tcPr>
            <w:tcW w:w="714" w:type="pct"/>
            <w:shd w:val="clear" w:color="auto" w:fill="auto"/>
            <w:noWrap w:val="0"/>
            <w:vAlign w:val="bottom"/>
          </w:tcPr>
          <w:p w14:paraId="2A3F4C2A">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31</w:t>
            </w:r>
          </w:p>
        </w:tc>
        <w:tc>
          <w:tcPr>
            <w:tcW w:w="714" w:type="pct"/>
            <w:shd w:val="clear" w:color="auto" w:fill="auto"/>
            <w:noWrap w:val="0"/>
            <w:vAlign w:val="bottom"/>
          </w:tcPr>
          <w:p w14:paraId="4FD61E24">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143</w:t>
            </w:r>
          </w:p>
        </w:tc>
        <w:tc>
          <w:tcPr>
            <w:tcW w:w="714" w:type="pct"/>
            <w:shd w:val="clear" w:color="auto" w:fill="auto"/>
            <w:noWrap w:val="0"/>
            <w:vAlign w:val="bottom"/>
          </w:tcPr>
          <w:p w14:paraId="3DB4881A">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229</w:t>
            </w:r>
          </w:p>
        </w:tc>
      </w:tr>
      <w:tr w14:paraId="68A1CD5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713" w:type="pct"/>
            <w:shd w:val="clear" w:color="auto" w:fill="auto"/>
            <w:noWrap w:val="0"/>
            <w:vAlign w:val="bottom"/>
          </w:tcPr>
          <w:p w14:paraId="50AAABBA">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2023</w:t>
            </w:r>
          </w:p>
        </w:tc>
        <w:tc>
          <w:tcPr>
            <w:tcW w:w="713" w:type="pct"/>
            <w:shd w:val="clear" w:color="auto" w:fill="auto"/>
            <w:noWrap w:val="0"/>
            <w:vAlign w:val="bottom"/>
          </w:tcPr>
          <w:p w14:paraId="128BCCE1">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388</w:t>
            </w:r>
          </w:p>
        </w:tc>
        <w:tc>
          <w:tcPr>
            <w:tcW w:w="714" w:type="pct"/>
            <w:shd w:val="clear" w:color="auto" w:fill="auto"/>
            <w:noWrap w:val="0"/>
            <w:vAlign w:val="bottom"/>
          </w:tcPr>
          <w:p w14:paraId="1F63937B">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174</w:t>
            </w:r>
          </w:p>
        </w:tc>
        <w:tc>
          <w:tcPr>
            <w:tcW w:w="714" w:type="pct"/>
            <w:shd w:val="clear" w:color="auto" w:fill="auto"/>
            <w:noWrap w:val="0"/>
            <w:vAlign w:val="bottom"/>
          </w:tcPr>
          <w:p w14:paraId="26A58A4A">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214</w:t>
            </w:r>
          </w:p>
        </w:tc>
        <w:tc>
          <w:tcPr>
            <w:tcW w:w="714" w:type="pct"/>
            <w:shd w:val="clear" w:color="auto" w:fill="auto"/>
            <w:noWrap w:val="0"/>
            <w:vAlign w:val="bottom"/>
          </w:tcPr>
          <w:p w14:paraId="447ABA34">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27</w:t>
            </w:r>
          </w:p>
        </w:tc>
        <w:tc>
          <w:tcPr>
            <w:tcW w:w="714" w:type="pct"/>
            <w:shd w:val="clear" w:color="auto" w:fill="auto"/>
            <w:noWrap w:val="0"/>
            <w:vAlign w:val="bottom"/>
          </w:tcPr>
          <w:p w14:paraId="2CC5A629">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112</w:t>
            </w:r>
          </w:p>
        </w:tc>
        <w:tc>
          <w:tcPr>
            <w:tcW w:w="714" w:type="pct"/>
            <w:shd w:val="clear" w:color="auto" w:fill="auto"/>
            <w:noWrap w:val="0"/>
            <w:vAlign w:val="bottom"/>
          </w:tcPr>
          <w:p w14:paraId="600C82F4">
            <w:pPr>
              <w:autoSpaceDE w:val="0"/>
              <w:autoSpaceDN w:val="0"/>
              <w:ind w:firstLine="480" w:firstLineChars="200"/>
              <w:jc w:val="both"/>
              <w:rPr>
                <w:rFonts w:ascii="宋体" w:hAnsi="宋体" w:eastAsia="宋体" w:cs="Times New Roman"/>
                <w:color w:val="auto"/>
                <w:sz w:val="24"/>
                <w:szCs w:val="22"/>
                <w:lang w:val="en-US" w:eastAsia="zh-CN" w:bidi="ar-SA"/>
              </w:rPr>
            </w:pPr>
            <w:r>
              <w:rPr>
                <w:rFonts w:hint="eastAsia" w:ascii="宋体" w:hAnsi="宋体" w:eastAsia="宋体" w:cs="Times New Roman"/>
                <w:color w:val="auto"/>
                <w:sz w:val="24"/>
                <w:szCs w:val="22"/>
                <w:lang w:val="en-US" w:eastAsia="zh-CN" w:bidi="ar-SA"/>
              </w:rPr>
              <w:t>249</w:t>
            </w:r>
          </w:p>
        </w:tc>
      </w:tr>
    </w:tbl>
    <w:p w14:paraId="616C2681">
      <w:pPr>
        <w:ind w:firstLine="640" w:firstLineChars="20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综上可知，编制单位在竹药罐法治疗胃食管反流病方面具有丰富的临床研究经验，取得了一定成效，在行业内具有较高的影响力，技术得到广泛的推广应用，为标准的制定提供了坚实基础。</w:t>
      </w:r>
    </w:p>
    <w:p w14:paraId="5003E715">
      <w:pPr>
        <w:ind w:firstLine="640" w:firstLineChars="200"/>
        <w:rPr>
          <w:rFonts w:ascii="仿宋_GB2312" w:hAnsi="宋体" w:eastAsia="仿宋_GB2312"/>
          <w:color w:val="auto"/>
          <w:sz w:val="32"/>
          <w:szCs w:val="32"/>
          <w:lang w:val="zh-CN"/>
        </w:rPr>
      </w:pPr>
      <w:r>
        <w:rPr>
          <w:rFonts w:hint="eastAsia" w:ascii="仿宋_GB2312" w:hAnsi="宋体" w:eastAsia="仿宋_GB2312"/>
          <w:color w:val="auto"/>
          <w:sz w:val="32"/>
          <w:szCs w:val="32"/>
          <w:lang w:val="zh-CN"/>
        </w:rPr>
        <w:t>团体标准《竹药罐法治疗胃食管反流病技术规范》的主要章节内容包括：</w:t>
      </w:r>
      <w:r>
        <w:rPr>
          <w:rFonts w:hint="eastAsia" w:ascii="仿宋_GB2312" w:hAnsi="宋体" w:eastAsia="仿宋_GB2312"/>
          <w:color w:val="auto"/>
          <w:sz w:val="32"/>
          <w:szCs w:val="28"/>
          <w:highlight w:val="none"/>
        </w:rPr>
        <w:t>术语和定义</w:t>
      </w:r>
      <w:r>
        <w:rPr>
          <w:rFonts w:hint="eastAsia" w:ascii="仿宋_GB2312" w:hAnsi="宋体" w:eastAsia="仿宋_GB2312"/>
          <w:color w:val="auto"/>
          <w:sz w:val="32"/>
          <w:szCs w:val="28"/>
          <w:highlight w:val="none"/>
          <w:lang w:eastAsia="zh-CN"/>
        </w:rPr>
        <w:t>、</w:t>
      </w:r>
      <w:r>
        <w:rPr>
          <w:rFonts w:hint="eastAsia" w:ascii="仿宋_GB2312" w:hAnsi="宋体" w:eastAsia="仿宋_GB2312"/>
          <w:color w:val="auto"/>
          <w:sz w:val="32"/>
          <w:szCs w:val="28"/>
          <w:highlight w:val="none"/>
        </w:rPr>
        <w:t>症状、辨证分型、适应症与禁忌症、治疗、不良反应处理、日常调护</w:t>
      </w:r>
      <w:r>
        <w:rPr>
          <w:rFonts w:hint="eastAsia" w:ascii="仿宋_GB2312" w:hAnsi="宋体" w:eastAsia="仿宋_GB2312"/>
          <w:color w:val="auto"/>
          <w:sz w:val="32"/>
          <w:szCs w:val="32"/>
          <w:lang w:val="zh-CN"/>
        </w:rPr>
        <w:t>。本文件主要内容及依据来源说明如下：</w:t>
      </w:r>
    </w:p>
    <w:p w14:paraId="40C50225">
      <w:pPr>
        <w:pStyle w:val="29"/>
        <w:numPr>
          <w:ilvl w:val="0"/>
          <w:numId w:val="9"/>
        </w:numPr>
        <w:autoSpaceDE w:val="0"/>
        <w:autoSpaceDN w:val="0"/>
        <w:adjustRightInd w:val="0"/>
        <w:spacing w:before="156" w:beforeLines="50" w:after="156" w:afterLines="50" w:line="560" w:lineRule="exact"/>
        <w:ind w:firstLineChars="0"/>
        <w:jc w:val="left"/>
        <w:rPr>
          <w:rFonts w:ascii="仿宋_GB2312" w:hAnsi="宋体" w:eastAsia="仿宋_GB2312"/>
          <w:b/>
          <w:color w:val="auto"/>
          <w:sz w:val="32"/>
          <w:szCs w:val="32"/>
          <w:lang w:val="zh-CN"/>
        </w:rPr>
      </w:pPr>
      <w:r>
        <w:rPr>
          <w:rFonts w:hint="eastAsia" w:ascii="仿宋_GB2312" w:hAnsi="宋体" w:eastAsia="仿宋_GB2312"/>
          <w:b/>
          <w:color w:val="auto"/>
          <w:sz w:val="32"/>
          <w:szCs w:val="32"/>
          <w:lang w:val="zh-CN"/>
        </w:rPr>
        <w:t>术语与定义</w:t>
      </w:r>
    </w:p>
    <w:p w14:paraId="0AC92536">
      <w:pPr>
        <w:ind w:firstLine="640" w:firstLineChars="20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参照《胃食管反流病中医诊疗专家共识（2023）》中对“胃食管反流病”的定义进行，即胃食管反流病（gastro-esophageal eflux disease，GERD）是指胃内容物反流入食管引起的反流相关症状和（或）并发症的一种疾病，包括食管综合征和食管外综合征。</w:t>
      </w:r>
    </w:p>
    <w:p w14:paraId="0E8422C9">
      <w:pPr>
        <w:pStyle w:val="29"/>
        <w:numPr>
          <w:ilvl w:val="0"/>
          <w:numId w:val="9"/>
        </w:numPr>
        <w:autoSpaceDE w:val="0"/>
        <w:autoSpaceDN w:val="0"/>
        <w:adjustRightInd w:val="0"/>
        <w:spacing w:before="156" w:beforeLines="50" w:after="156" w:afterLines="50" w:line="560" w:lineRule="exact"/>
        <w:ind w:firstLineChars="0"/>
        <w:jc w:val="left"/>
        <w:rPr>
          <w:rFonts w:hint="eastAsia" w:ascii="仿宋_GB2312" w:hAnsi="宋体" w:eastAsia="仿宋_GB2312"/>
          <w:b/>
          <w:color w:val="auto"/>
          <w:sz w:val="32"/>
          <w:szCs w:val="32"/>
          <w:lang w:val="zh-CN"/>
        </w:rPr>
      </w:pPr>
      <w:r>
        <w:rPr>
          <w:rFonts w:hint="eastAsia" w:ascii="仿宋_GB2312" w:hAnsi="宋体" w:eastAsia="仿宋_GB2312"/>
          <w:b/>
          <w:color w:val="auto"/>
          <w:sz w:val="32"/>
          <w:szCs w:val="32"/>
          <w:lang w:val="zh-CN"/>
        </w:rPr>
        <w:t>症状</w:t>
      </w:r>
    </w:p>
    <w:p w14:paraId="23209C7F">
      <w:pPr>
        <w:ind w:firstLine="640" w:firstLineChars="20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参照《2020年中国胃食管反流病专家共识》和《胃食管反流病中医诊疗专家共识（2023）》中对胃食管反流病症状的描述进行。</w:t>
      </w:r>
    </w:p>
    <w:p w14:paraId="02938F35">
      <w:pPr>
        <w:pStyle w:val="29"/>
        <w:numPr>
          <w:ilvl w:val="0"/>
          <w:numId w:val="9"/>
        </w:numPr>
        <w:autoSpaceDE w:val="0"/>
        <w:autoSpaceDN w:val="0"/>
        <w:adjustRightInd w:val="0"/>
        <w:spacing w:before="156" w:beforeLines="50" w:after="156" w:afterLines="50" w:line="560" w:lineRule="exact"/>
        <w:ind w:firstLineChars="0"/>
        <w:jc w:val="left"/>
        <w:rPr>
          <w:rFonts w:hint="eastAsia" w:ascii="仿宋_GB2312" w:hAnsi="宋体" w:eastAsia="仿宋_GB2312"/>
          <w:b/>
          <w:color w:val="auto"/>
          <w:sz w:val="32"/>
          <w:szCs w:val="32"/>
          <w:lang w:val="zh-CN"/>
        </w:rPr>
      </w:pPr>
      <w:r>
        <w:rPr>
          <w:rFonts w:hint="eastAsia" w:ascii="仿宋_GB2312" w:hAnsi="宋体" w:eastAsia="仿宋_GB2312"/>
          <w:b/>
          <w:color w:val="auto"/>
          <w:sz w:val="32"/>
          <w:szCs w:val="32"/>
          <w:lang w:val="zh-CN"/>
        </w:rPr>
        <w:t>辨证分型</w:t>
      </w:r>
    </w:p>
    <w:p w14:paraId="2E31A328">
      <w:pPr>
        <w:ind w:firstLine="640" w:firstLineChars="20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zh-CN" w:eastAsia="zh-CN"/>
        </w:rPr>
        <w:t>中国胃食管反流病多学科诊疗共识《胃食管反流病中医诊疗专家共识(2023)》</w:t>
      </w:r>
      <w:r>
        <w:rPr>
          <w:rFonts w:hint="eastAsia" w:ascii="仿宋_GB2312" w:hAnsi="宋体" w:eastAsia="仿宋_GB2312"/>
          <w:color w:val="auto"/>
          <w:sz w:val="32"/>
          <w:szCs w:val="32"/>
          <w:lang w:val="en-US" w:eastAsia="zh-CN"/>
        </w:rPr>
        <w:t>中关于辨证分型的中医描述进行，包括：</w:t>
      </w:r>
    </w:p>
    <w:p w14:paraId="72AE8C3E">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1</w:t>
      </w:r>
      <w:r>
        <w:rPr>
          <w:rFonts w:hint="eastAsia" w:ascii="仿宋_GB2312" w:hAnsi="宋体" w:eastAsia="仿宋_GB2312"/>
          <w:color w:val="auto"/>
          <w:sz w:val="32"/>
          <w:szCs w:val="32"/>
          <w:lang w:val="en-US" w:eastAsia="zh-CN"/>
        </w:rPr>
        <w:t>、</w:t>
      </w:r>
      <w:r>
        <w:rPr>
          <w:rFonts w:hint="default" w:ascii="仿宋_GB2312" w:hAnsi="宋体" w:eastAsia="仿宋_GB2312"/>
          <w:color w:val="auto"/>
          <w:sz w:val="32"/>
          <w:szCs w:val="32"/>
          <w:lang w:val="en-US" w:eastAsia="zh-CN"/>
        </w:rPr>
        <w:t>肝胃郁热证（中医病证分类与代码B04.06.02.04.01.03［12］）</w:t>
      </w:r>
    </w:p>
    <w:p w14:paraId="0D28C34E">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主症：1）烧心；2）反酸。</w:t>
      </w:r>
    </w:p>
    <w:p w14:paraId="7D7E2CAD">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次症：1）胸骨后灼痛；2）胃脘灼痛；3）脘腹胀满；4）嗳气或反食；5）易怒；6）易饥。</w:t>
      </w:r>
    </w:p>
    <w:p w14:paraId="204CDF8E">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舌脉：1）舌红，苔黄；2）脉弦。</w:t>
      </w:r>
    </w:p>
    <w:p w14:paraId="092E2D01">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2</w:t>
      </w:r>
      <w:r>
        <w:rPr>
          <w:rFonts w:hint="eastAsia" w:ascii="仿宋_GB2312" w:hAnsi="宋体" w:eastAsia="仿宋_GB2312"/>
          <w:color w:val="auto"/>
          <w:sz w:val="32"/>
          <w:szCs w:val="32"/>
          <w:lang w:val="en-US" w:eastAsia="zh-CN"/>
        </w:rPr>
        <w:t>、</w:t>
      </w:r>
      <w:r>
        <w:rPr>
          <w:rFonts w:hint="default" w:ascii="仿宋_GB2312" w:hAnsi="宋体" w:eastAsia="仿宋_GB2312"/>
          <w:color w:val="auto"/>
          <w:sz w:val="32"/>
          <w:szCs w:val="32"/>
          <w:lang w:val="en-US" w:eastAsia="zh-CN"/>
        </w:rPr>
        <w:t>胆火上逆证（中医病证分类与代码B04.02.02.01.05［12］）</w:t>
      </w:r>
    </w:p>
    <w:p w14:paraId="0F2C1739">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主症：1）口苦咽干；2）烧心。</w:t>
      </w:r>
    </w:p>
    <w:p w14:paraId="7218BBF6">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次症：1）胁肋胀痛；2）胸背痛；3）反酸；4）嗳气或反食；</w:t>
      </w:r>
    </w:p>
    <w:p w14:paraId="6D151F90">
      <w:pPr>
        <w:numPr>
          <w:ilvl w:val="0"/>
          <w:numId w:val="10"/>
        </w:num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心烦失眠；6）易饥。</w:t>
      </w:r>
    </w:p>
    <w:p w14:paraId="29050FF2">
      <w:pPr>
        <w:numPr>
          <w:ilvl w:val="0"/>
          <w:numId w:val="10"/>
        </w:num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舌脉：1）舌红，苔黄腻；2） 脉弦滑。</w:t>
      </w:r>
    </w:p>
    <w:p w14:paraId="4098F051">
      <w:pPr>
        <w:ind w:firstLine="640" w:firstLineChars="200"/>
        <w:jc w:val="both"/>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3</w:t>
      </w:r>
      <w:r>
        <w:rPr>
          <w:rFonts w:hint="eastAsia" w:ascii="仿宋_GB2312" w:hAnsi="宋体" w:eastAsia="仿宋_GB2312"/>
          <w:color w:val="auto"/>
          <w:sz w:val="32"/>
          <w:szCs w:val="32"/>
          <w:lang w:val="en-US" w:eastAsia="zh-CN"/>
        </w:rPr>
        <w:t>、</w:t>
      </w:r>
      <w:r>
        <w:rPr>
          <w:rFonts w:hint="default" w:ascii="仿宋_GB2312" w:hAnsi="宋体" w:eastAsia="仿宋_GB2312"/>
          <w:color w:val="auto"/>
          <w:sz w:val="32"/>
          <w:szCs w:val="32"/>
          <w:lang w:val="en-US" w:eastAsia="zh-CN"/>
        </w:rPr>
        <w:t>气郁痰阻证（中医病证分类与代码B03.01.01.02.02.04.</w:t>
      </w:r>
      <w:r>
        <w:rPr>
          <w:rFonts w:hint="eastAsia" w:ascii="仿宋_GB2312" w:hAnsi="宋体" w:eastAsia="仿宋_GB2312"/>
          <w:color w:val="auto"/>
          <w:sz w:val="32"/>
          <w:szCs w:val="32"/>
          <w:lang w:val="en-US" w:eastAsia="zh-CN"/>
        </w:rPr>
        <w:t xml:space="preserve"> </w:t>
      </w:r>
      <w:r>
        <w:rPr>
          <w:rFonts w:hint="default" w:ascii="仿宋_GB2312" w:hAnsi="宋体" w:eastAsia="仿宋_GB2312"/>
          <w:color w:val="auto"/>
          <w:sz w:val="32"/>
          <w:szCs w:val="32"/>
          <w:lang w:val="en-US" w:eastAsia="zh-CN"/>
        </w:rPr>
        <w:t>01［12］）</w:t>
      </w:r>
    </w:p>
    <w:p w14:paraId="2D175E38">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主症：1） 咽喉不适如有痰梗；2） 胸膺不适。</w:t>
      </w:r>
    </w:p>
    <w:p w14:paraId="48622DBC">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次症：1） 嗳气或反流；2） 吞咽困难；3） 声音嘶</w:t>
      </w:r>
    </w:p>
    <w:p w14:paraId="6D420DEB">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哑；4）半夜呛咳。舌脉：1）舌苔白腻；2）脉弦滑。</w:t>
      </w:r>
    </w:p>
    <w:p w14:paraId="60B08BCE">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4</w:t>
      </w:r>
      <w:r>
        <w:rPr>
          <w:rFonts w:hint="eastAsia" w:ascii="仿宋_GB2312" w:hAnsi="宋体" w:eastAsia="仿宋_GB2312"/>
          <w:color w:val="auto"/>
          <w:sz w:val="32"/>
          <w:szCs w:val="32"/>
          <w:lang w:val="en-US" w:eastAsia="zh-CN"/>
        </w:rPr>
        <w:t>、</w:t>
      </w:r>
      <w:r>
        <w:rPr>
          <w:rFonts w:hint="default" w:ascii="仿宋_GB2312" w:hAnsi="宋体" w:eastAsia="仿宋_GB2312"/>
          <w:color w:val="auto"/>
          <w:sz w:val="32"/>
          <w:szCs w:val="32"/>
          <w:lang w:val="en-US" w:eastAsia="zh-CN"/>
        </w:rPr>
        <w:t>胸阳不振证（中医病证分类与代码未见）</w:t>
      </w:r>
    </w:p>
    <w:p w14:paraId="63CC3AF2">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主症：1）胸骨后疼痛不适；2）胸骨后梗阻感。</w:t>
      </w:r>
    </w:p>
    <w:p w14:paraId="2F7E7F78">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次症：1）反酸；2）胃脘隐痛；3）大便干结或不畅；4）腹部胀满不适；5）气向上冲逆；6）怕冷。</w:t>
      </w:r>
    </w:p>
    <w:p w14:paraId="5E2A4C71">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舌脉：1）舌淡，苔白；2）脉弦滑。</w:t>
      </w:r>
    </w:p>
    <w:p w14:paraId="65BC0C8B">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5</w:t>
      </w:r>
      <w:r>
        <w:rPr>
          <w:rFonts w:hint="eastAsia" w:ascii="仿宋_GB2312" w:hAnsi="宋体" w:eastAsia="仿宋_GB2312"/>
          <w:color w:val="auto"/>
          <w:sz w:val="32"/>
          <w:szCs w:val="32"/>
          <w:lang w:val="en-US" w:eastAsia="zh-CN"/>
        </w:rPr>
        <w:t>、</w:t>
      </w:r>
      <w:r>
        <w:rPr>
          <w:rFonts w:hint="default" w:ascii="仿宋_GB2312" w:hAnsi="宋体" w:eastAsia="仿宋_GB2312"/>
          <w:color w:val="auto"/>
          <w:sz w:val="32"/>
          <w:szCs w:val="32"/>
          <w:lang w:val="en-US" w:eastAsia="zh-CN"/>
        </w:rPr>
        <w:t>中虚气逆证（中医病证分类与代码未见）</w:t>
      </w:r>
    </w:p>
    <w:p w14:paraId="3C31BAA0">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主症：1）反酸或泛吐清水；2）嗳气或反流。</w:t>
      </w:r>
    </w:p>
    <w:p w14:paraId="7954CEE8">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次症：1）胃脘隐痛；2）胃痞胀满；3）食欲不振；4）神疲乏力；5）大便溏薄。</w:t>
      </w:r>
    </w:p>
    <w:p w14:paraId="2CAEA0FD">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舌脉：1）舌淡，苔薄；2）脉细弱。</w:t>
      </w:r>
    </w:p>
    <w:p w14:paraId="7D92A5C5">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6</w:t>
      </w:r>
      <w:r>
        <w:rPr>
          <w:rFonts w:hint="eastAsia" w:ascii="仿宋_GB2312" w:hAnsi="宋体" w:eastAsia="仿宋_GB2312"/>
          <w:color w:val="auto"/>
          <w:sz w:val="32"/>
          <w:szCs w:val="32"/>
          <w:lang w:val="en-US" w:eastAsia="zh-CN"/>
        </w:rPr>
        <w:t>、</w:t>
      </w:r>
      <w:r>
        <w:rPr>
          <w:rFonts w:hint="default" w:ascii="仿宋_GB2312" w:hAnsi="宋体" w:eastAsia="仿宋_GB2312"/>
          <w:color w:val="auto"/>
          <w:sz w:val="32"/>
          <w:szCs w:val="32"/>
          <w:lang w:val="en-US" w:eastAsia="zh-CN"/>
        </w:rPr>
        <w:t>脾虚湿热证（中医病证分类与代码B04.03.01.03.04.04［12］）</w:t>
      </w:r>
    </w:p>
    <w:p w14:paraId="65D580A6">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主症：1）餐后反酸；2）饱胀。</w:t>
      </w:r>
    </w:p>
    <w:p w14:paraId="732BAE59">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次症：1）胃脘灼痛；2）胸闷不舒；3）不欲饮食；4）身倦乏力；5）大便溏滞。</w:t>
      </w:r>
    </w:p>
    <w:p w14:paraId="554DC696">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舌脉：1）舌淡或红，苔薄黄腻；2）脉细滑数。</w:t>
      </w:r>
    </w:p>
    <w:p w14:paraId="73FDC307">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7</w:t>
      </w:r>
      <w:r>
        <w:rPr>
          <w:rFonts w:hint="eastAsia" w:ascii="仿宋_GB2312" w:hAnsi="宋体" w:eastAsia="仿宋_GB2312"/>
          <w:color w:val="auto"/>
          <w:sz w:val="32"/>
          <w:szCs w:val="32"/>
          <w:lang w:val="en-US" w:eastAsia="zh-CN"/>
        </w:rPr>
        <w:t>、</w:t>
      </w:r>
      <w:r>
        <w:rPr>
          <w:rFonts w:hint="default" w:ascii="仿宋_GB2312" w:hAnsi="宋体" w:eastAsia="仿宋_GB2312"/>
          <w:color w:val="auto"/>
          <w:sz w:val="32"/>
          <w:szCs w:val="32"/>
          <w:lang w:val="en-US" w:eastAsia="zh-CN"/>
        </w:rPr>
        <w:t>胃阴不足证（中医病证分类与代码B04.03.02.03.02［12］）</w:t>
      </w:r>
    </w:p>
    <w:p w14:paraId="69CDCF4D">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主症：1）烧心；2）饥而不欲食。</w:t>
      </w:r>
    </w:p>
    <w:p w14:paraId="066DA97F">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次症：1）口干舌燥；2）食后饱胀；3）大便干燥。</w:t>
      </w:r>
    </w:p>
    <w:p w14:paraId="1891DF4A">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舌脉：1）舌质红，少苔或无苔；2）脉细数。</w:t>
      </w:r>
    </w:p>
    <w:p w14:paraId="1B51614C">
      <w:pPr>
        <w:pStyle w:val="29"/>
        <w:numPr>
          <w:ilvl w:val="0"/>
          <w:numId w:val="9"/>
        </w:numPr>
        <w:autoSpaceDE w:val="0"/>
        <w:autoSpaceDN w:val="0"/>
        <w:adjustRightInd w:val="0"/>
        <w:spacing w:before="156" w:beforeLines="50" w:after="156" w:afterLines="50" w:line="560" w:lineRule="exact"/>
        <w:ind w:firstLineChars="0"/>
        <w:jc w:val="left"/>
        <w:rPr>
          <w:rFonts w:hint="eastAsia" w:ascii="仿宋_GB2312" w:hAnsi="宋体" w:eastAsia="仿宋_GB2312"/>
          <w:b/>
          <w:color w:val="auto"/>
          <w:sz w:val="32"/>
          <w:szCs w:val="32"/>
          <w:lang w:val="zh-CN"/>
        </w:rPr>
      </w:pPr>
      <w:r>
        <w:rPr>
          <w:rFonts w:hint="eastAsia" w:ascii="仿宋_GB2312" w:hAnsi="宋体" w:eastAsia="仿宋_GB2312"/>
          <w:b/>
          <w:color w:val="auto"/>
          <w:sz w:val="32"/>
          <w:szCs w:val="32"/>
          <w:lang w:val="zh-CN"/>
        </w:rPr>
        <w:t>适应症与禁忌症</w:t>
      </w:r>
    </w:p>
    <w:p w14:paraId="0F544D71">
      <w:pPr>
        <w:ind w:firstLine="643" w:firstLineChars="200"/>
        <w:rPr>
          <w:rFonts w:hint="eastAsia" w:ascii="仿宋_GB2312" w:hAnsi="宋体" w:eastAsia="仿宋_GB2312"/>
          <w:b/>
          <w:bCs/>
          <w:color w:val="auto"/>
          <w:sz w:val="32"/>
          <w:szCs w:val="32"/>
          <w:lang w:val="zh-CN" w:eastAsia="zh-CN"/>
        </w:rPr>
      </w:pPr>
      <w:r>
        <w:rPr>
          <w:rFonts w:hint="eastAsia" w:ascii="仿宋_GB2312" w:hAnsi="宋体" w:eastAsia="仿宋_GB2312"/>
          <w:b/>
          <w:bCs/>
          <w:color w:val="auto"/>
          <w:sz w:val="32"/>
          <w:szCs w:val="32"/>
          <w:lang w:val="en-US" w:eastAsia="zh-CN"/>
        </w:rPr>
        <w:t>1、</w:t>
      </w:r>
      <w:r>
        <w:rPr>
          <w:rFonts w:hint="eastAsia" w:ascii="仿宋_GB2312" w:hAnsi="宋体" w:eastAsia="仿宋_GB2312"/>
          <w:b/>
          <w:bCs/>
          <w:color w:val="auto"/>
          <w:sz w:val="32"/>
          <w:szCs w:val="32"/>
          <w:lang w:val="zh-CN" w:eastAsia="zh-CN"/>
        </w:rPr>
        <w:t>适应症</w:t>
      </w:r>
    </w:p>
    <w:p w14:paraId="0DBD9895">
      <w:pPr>
        <w:ind w:firstLine="640" w:firstLineChars="20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zh-CN" w:eastAsia="zh-CN"/>
        </w:rPr>
        <w:t>拔罐疗法的适用范围较为广泛，涉及内、外、妇、儿、皮肤、五官等疾病。如胃脘痛、腹痛、呃逆、便秘、感冒、咳嗽、肺炎、中风后遗症、不寐、高血压、高血脂、骨关节疼痛、乳腺小叶增生、痛经、月经不调、小儿感冒与发热、带状疱疹、耳鸣、过敏性鼻炎等。</w:t>
      </w:r>
      <w:r>
        <w:rPr>
          <w:rFonts w:hint="eastAsia" w:ascii="仿宋_GB2312" w:hAnsi="宋体" w:eastAsia="仿宋_GB2312"/>
          <w:color w:val="auto"/>
          <w:sz w:val="32"/>
          <w:szCs w:val="32"/>
          <w:lang w:val="en-US" w:eastAsia="zh-CN"/>
        </w:rPr>
        <w:t>在本标准中主要针对胃食管反流病的诊断标准的患者。</w:t>
      </w:r>
    </w:p>
    <w:p w14:paraId="6BBAF9CB">
      <w:pPr>
        <w:ind w:firstLine="643" w:firstLineChars="200"/>
        <w:rPr>
          <w:rFonts w:hint="eastAsia" w:ascii="仿宋_GB2312" w:hAnsi="宋体" w:eastAsia="仿宋_GB2312"/>
          <w:b/>
          <w:bCs/>
          <w:color w:val="auto"/>
          <w:sz w:val="32"/>
          <w:szCs w:val="32"/>
          <w:lang w:val="zh-CN" w:eastAsia="zh-CN"/>
        </w:rPr>
      </w:pPr>
      <w:r>
        <w:rPr>
          <w:rFonts w:hint="eastAsia" w:ascii="仿宋_GB2312" w:hAnsi="宋体" w:eastAsia="仿宋_GB2312"/>
          <w:b/>
          <w:bCs/>
          <w:color w:val="auto"/>
          <w:sz w:val="32"/>
          <w:szCs w:val="32"/>
          <w:lang w:val="en-US" w:eastAsia="zh-CN"/>
        </w:rPr>
        <w:t>2、</w:t>
      </w:r>
      <w:r>
        <w:rPr>
          <w:rFonts w:hint="eastAsia" w:ascii="仿宋_GB2312" w:hAnsi="宋体" w:eastAsia="仿宋_GB2312"/>
          <w:b/>
          <w:bCs/>
          <w:color w:val="auto"/>
          <w:sz w:val="32"/>
          <w:szCs w:val="32"/>
          <w:lang w:val="zh-CN" w:eastAsia="zh-CN"/>
        </w:rPr>
        <w:t>禁忌症及慎用症</w:t>
      </w:r>
    </w:p>
    <w:p w14:paraId="10999A7E">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en-US" w:eastAsia="zh-CN"/>
        </w:rPr>
        <w:t>主要参照GB/T 21709.5-2008《针灸技术操作规范  第5部分：拔罐》和自治区中医药局办公室关于印发《中医非药物疗法第二批操作规范（试行）》的通知（桂中医药医发〔2023〕11号）文件中关于竹药罐拔罐的相关禁忌症，并结合胃食管反流病的禁忌特点（胃食道腺瘤及癌等）拟定。</w:t>
      </w:r>
    </w:p>
    <w:p w14:paraId="1A710B42">
      <w:pPr>
        <w:pStyle w:val="29"/>
        <w:numPr>
          <w:ilvl w:val="0"/>
          <w:numId w:val="9"/>
        </w:numPr>
        <w:autoSpaceDE w:val="0"/>
        <w:autoSpaceDN w:val="0"/>
        <w:adjustRightInd w:val="0"/>
        <w:spacing w:before="156" w:beforeLines="50" w:after="156" w:afterLines="50" w:line="560" w:lineRule="exact"/>
        <w:ind w:firstLineChars="0"/>
        <w:jc w:val="left"/>
        <w:rPr>
          <w:rFonts w:hint="eastAsia" w:ascii="仿宋_GB2312" w:hAnsi="宋体" w:eastAsia="仿宋_GB2312"/>
          <w:b/>
          <w:color w:val="auto"/>
          <w:sz w:val="32"/>
          <w:szCs w:val="32"/>
          <w:lang w:val="zh-CN"/>
        </w:rPr>
      </w:pPr>
      <w:r>
        <w:rPr>
          <w:rFonts w:hint="eastAsia" w:ascii="仿宋_GB2312" w:hAnsi="宋体" w:eastAsia="仿宋_GB2312"/>
          <w:b/>
          <w:color w:val="auto"/>
          <w:sz w:val="32"/>
          <w:szCs w:val="32"/>
          <w:lang w:val="zh-CN"/>
        </w:rPr>
        <w:t>治疗</w:t>
      </w:r>
    </w:p>
    <w:p w14:paraId="19C83C7B">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竹罐一般选用壮族地区特有的金竹，竹龄以1～2年为佳，选择根部较直、色淡黄、微绿而质地坚实的竹管，直径为3～5cm坚固无损的竹节，制成6～8cm或8～10cm长的竹管，一端留作底，另一端做罐口，用刀刮去青皮及内膜，制成形如腰鼓的圆筒。打磨罐口，使罐口平滑。制作竹罐时，需注意选取的竹管长度要适宜，太长的重量大，使用时易脱落，太短的管腔内容积小，使用时吸力不够，影响疗效。因竹罐如经久不用，会因过于干燥而破裂、漏气，为美观耐用，可用彩漆漆罐体外部，并在使用之前可用温水浸泡，可适当延长使用寿命。</w:t>
      </w:r>
    </w:p>
    <w:p w14:paraId="68D5CF0A">
      <w:pPr>
        <w:ind w:firstLine="643" w:firstLineChars="200"/>
        <w:rPr>
          <w:rFonts w:hint="default" w:ascii="仿宋_GB2312" w:hAnsi="宋体" w:eastAsia="仿宋_GB2312"/>
          <w:b/>
          <w:bCs/>
          <w:color w:val="auto"/>
          <w:sz w:val="32"/>
          <w:szCs w:val="32"/>
          <w:lang w:val="en-US" w:eastAsia="zh-CN"/>
        </w:rPr>
      </w:pPr>
      <w:r>
        <w:rPr>
          <w:rFonts w:hint="eastAsia" w:ascii="仿宋_GB2312" w:hAnsi="宋体" w:eastAsia="仿宋_GB2312"/>
          <w:b/>
          <w:bCs/>
          <w:color w:val="auto"/>
          <w:sz w:val="32"/>
          <w:szCs w:val="32"/>
          <w:lang w:val="en-US" w:eastAsia="zh-CN"/>
        </w:rPr>
        <w:t>1、操作前准备</w:t>
      </w:r>
    </w:p>
    <w:p w14:paraId="76B23DFE">
      <w:pPr>
        <w:ind w:firstLine="640" w:firstLineChars="20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拔罐用到的器具材料包括：</w:t>
      </w:r>
      <w:r>
        <w:rPr>
          <w:rFonts w:hint="eastAsia" w:ascii="仿宋_GB2312" w:hAnsi="宋体" w:eastAsia="仿宋_GB2312"/>
          <w:color w:val="auto"/>
          <w:sz w:val="32"/>
          <w:szCs w:val="32"/>
          <w:lang w:val="zh-CN" w:eastAsia="zh-CN"/>
        </w:rPr>
        <w:t>治疗车、竹罐10～30个、中药、棉布袋、水、加热容器、大号镊子、计时器、大浴巾2条、药酒或姜汁、小方纱、95％酒精、棉球、酒精灯、打火机、止血钳、手套1～2双(必要时)、湿润烧伤膏、润滑油等。场地和环境、人员要求</w:t>
      </w:r>
      <w:r>
        <w:rPr>
          <w:rFonts w:hint="eastAsia" w:ascii="仿宋_GB2312" w:hAnsi="宋体" w:eastAsia="仿宋_GB2312"/>
          <w:color w:val="auto"/>
          <w:sz w:val="32"/>
          <w:szCs w:val="32"/>
          <w:lang w:val="en-US" w:eastAsia="zh-CN"/>
        </w:rPr>
        <w:t>主要参照GB/T 21709.5-2008《针灸技术操作规范  第5部分：拔罐》的要求进行。体位选择主要根据胃食管反流病拔罐经验确定，要求根据所选经络，患者取俯卧位或者仰卧位，并注意保暖。</w:t>
      </w:r>
    </w:p>
    <w:p w14:paraId="7509E020">
      <w:pPr>
        <w:ind w:firstLine="643" w:firstLineChars="200"/>
        <w:rPr>
          <w:rFonts w:hint="default" w:ascii="仿宋_GB2312" w:hAnsi="宋体" w:eastAsia="仿宋_GB2312"/>
          <w:b/>
          <w:bCs/>
          <w:color w:val="auto"/>
          <w:sz w:val="32"/>
          <w:szCs w:val="32"/>
          <w:lang w:val="en-US" w:eastAsia="zh-CN"/>
        </w:rPr>
      </w:pPr>
      <w:r>
        <w:rPr>
          <w:rFonts w:hint="eastAsia" w:ascii="仿宋_GB2312" w:hAnsi="宋体" w:eastAsia="仿宋_GB2312"/>
          <w:b/>
          <w:bCs/>
          <w:color w:val="auto"/>
          <w:sz w:val="32"/>
          <w:szCs w:val="32"/>
          <w:lang w:val="en-US" w:eastAsia="zh-CN"/>
        </w:rPr>
        <w:t>2、拔罐操作方法</w:t>
      </w:r>
    </w:p>
    <w:p w14:paraId="67AEF226">
      <w:pPr>
        <w:ind w:firstLine="640" w:firstLineChars="20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zh-CN" w:eastAsia="zh-CN"/>
        </w:rPr>
        <w:t>竹药罐法是一种拔罐疗法与药物配合应用的拔罐方法。</w:t>
      </w:r>
      <w:r>
        <w:rPr>
          <w:rFonts w:hint="eastAsia" w:ascii="仿宋_GB2312" w:hAnsi="宋体" w:eastAsia="仿宋_GB2312"/>
          <w:color w:val="auto"/>
          <w:sz w:val="32"/>
          <w:szCs w:val="32"/>
          <w:lang w:val="en-US" w:eastAsia="zh-CN"/>
        </w:rPr>
        <w:t>参照编制单位相关论文《恒温温经姜疗联合经络拔罐对脾胃岸寒型胃脘痛病人的影响》并结合近年的实际经验，给出了竹药罐拔罐的一般操作方法。</w:t>
      </w:r>
    </w:p>
    <w:p w14:paraId="442EC0C5">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（一）采用拔罐</w:t>
      </w:r>
      <w:r>
        <w:rPr>
          <w:rFonts w:hint="eastAsia" w:ascii="仿宋_GB2312" w:hAnsi="宋体" w:eastAsia="仿宋_GB2312"/>
          <w:color w:val="auto"/>
          <w:sz w:val="32"/>
          <w:szCs w:val="32"/>
          <w:lang w:val="en-US" w:eastAsia="zh-CN"/>
        </w:rPr>
        <w:t>治疗车</w:t>
      </w:r>
      <w:r>
        <w:rPr>
          <w:rFonts w:hint="eastAsia" w:ascii="仿宋_GB2312" w:hAnsi="宋体" w:eastAsia="仿宋_GB2312"/>
          <w:color w:val="auto"/>
          <w:sz w:val="32"/>
          <w:szCs w:val="32"/>
          <w:lang w:val="zh-CN" w:eastAsia="zh-CN"/>
        </w:rPr>
        <w:t>加热，将竹罐清洗干净与药物同煮，一起煮沸10～15min，第一次治疗药物煮沸20～30min，以后治疗每次煮沸5～10min。药物三天更换一次，当天下班前将药物煮滚保存第二</w:t>
      </w:r>
      <w:r>
        <w:rPr>
          <w:rFonts w:hint="eastAsia" w:ascii="仿宋_GB2312" w:hAnsi="宋体" w:eastAsia="仿宋_GB2312"/>
          <w:color w:val="auto"/>
          <w:sz w:val="32"/>
          <w:szCs w:val="32"/>
          <w:lang w:val="en-US" w:eastAsia="zh-CN"/>
        </w:rPr>
        <w:t>天</w:t>
      </w:r>
      <w:r>
        <w:rPr>
          <w:rFonts w:hint="eastAsia" w:ascii="仿宋_GB2312" w:hAnsi="宋体" w:eastAsia="仿宋_GB2312"/>
          <w:color w:val="auto"/>
          <w:sz w:val="32"/>
          <w:szCs w:val="32"/>
          <w:lang w:val="zh-CN" w:eastAsia="zh-CN"/>
        </w:rPr>
        <w:t>使用。</w:t>
      </w:r>
    </w:p>
    <w:p w14:paraId="3A0CD5BC">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二）使罐吸收药力和热力后用夹子夹出或漏勺捞出竹罐，注意罐口应向下，置于干毛巾或大浴巾上，用以蘸去罐口的药液并使罐口的温度降低，待温度合适后趁罐内蒸汽仍未消散，迅速将罐扣在施术部位，并用手按压竹罐30秒，或者皮肤肌肉不够丰满部位可以用止血钳夹紧折叠包裹尖端的小方纱,稍蘸95%乙醇,点燃后在伸入罐内，待竹筒温度在43～47℃后可用闪火法拔罐，闪火拔罐速度快，温度比较恒定，不易下降和烫伤皮肤。</w:t>
      </w:r>
    </w:p>
    <w:p w14:paraId="0B26EF53">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（三）将中药散剂液加姜汁、中药汁、酒或水调为糊状加热(47～50℃)涂在拔罐部位，待罐具温度合适后拔罐。拔罐过程中采用加盖大浴巾保持罐具温度及避免寒邪人侵且盖大浴中保持温热效果。</w:t>
      </w:r>
    </w:p>
    <w:p w14:paraId="3BED4B04">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（四）经络、穴位拔罐操作方法</w:t>
      </w:r>
    </w:p>
    <w:p w14:paraId="1E752B10">
      <w:pPr>
        <w:ind w:firstLine="640" w:firstLineChars="200"/>
        <w:rPr>
          <w:rFonts w:hint="eastAsia" w:ascii="仿宋_GB2312" w:hAnsi="宋体" w:eastAsia="仿宋_GB2312"/>
          <w:b/>
          <w:bCs/>
          <w:color w:val="auto"/>
          <w:sz w:val="32"/>
          <w:szCs w:val="32"/>
          <w:lang w:val="zh-CN" w:eastAsia="zh-CN"/>
        </w:rPr>
      </w:pPr>
      <w:r>
        <w:rPr>
          <w:rFonts w:hint="eastAsia" w:ascii="仿宋_GB2312" w:hAnsi="宋体" w:eastAsia="仿宋_GB2312"/>
          <w:color w:val="auto"/>
          <w:sz w:val="32"/>
          <w:szCs w:val="32"/>
          <w:lang w:val="zh-CN" w:eastAsia="zh-CN"/>
        </w:rPr>
        <w:t>根据疾病及证候的不同，选择督脉、任脉及足太阳膀胱经为主，脾、胃、肝胆、肾、肺、心经为臣，从背、腹及四肢等进行辨证选择经络与穴位，采用从上到下及从阳到阴的拔罐方法。</w:t>
      </w:r>
      <w:r>
        <w:rPr>
          <w:rFonts w:hint="default" w:ascii="仿宋_GB2312" w:hAnsi="宋体" w:eastAsia="仿宋_GB2312"/>
          <w:b/>
          <w:bCs/>
          <w:color w:val="auto"/>
          <w:sz w:val="32"/>
          <w:szCs w:val="32"/>
          <w:lang w:val="en-US" w:eastAsia="zh-CN"/>
        </w:rPr>
        <w:t>取穴定位方法</w:t>
      </w:r>
      <w:r>
        <w:rPr>
          <w:rFonts w:hint="eastAsia" w:ascii="仿宋_GB2312" w:hAnsi="宋体" w:eastAsia="仿宋_GB2312"/>
          <w:b/>
          <w:bCs/>
          <w:color w:val="auto"/>
          <w:sz w:val="32"/>
          <w:szCs w:val="32"/>
          <w:lang w:val="en-US" w:eastAsia="zh-CN"/>
        </w:rPr>
        <w:t>主要参照GB/T 12346-2021《经穴名称与定位》和相关教材、资料确定。</w:t>
      </w:r>
    </w:p>
    <w:p w14:paraId="65356618">
      <w:pPr>
        <w:ind w:firstLine="640" w:firstLineChars="20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zh-CN" w:eastAsia="zh-CN"/>
        </w:rPr>
        <w:t>①经络选择:</w:t>
      </w:r>
      <w:r>
        <w:rPr>
          <w:rFonts w:hint="eastAsia" w:ascii="仿宋_GB2312" w:hAnsi="宋体" w:eastAsia="仿宋_GB2312"/>
          <w:color w:val="auto"/>
          <w:sz w:val="32"/>
          <w:szCs w:val="32"/>
          <w:lang w:val="en-US" w:eastAsia="zh-CN"/>
        </w:rPr>
        <w:t>第一周</w:t>
      </w:r>
      <w:r>
        <w:rPr>
          <w:rFonts w:hint="eastAsia" w:ascii="仿宋_GB2312" w:hAnsi="宋体" w:eastAsia="仿宋_GB2312"/>
          <w:color w:val="auto"/>
          <w:sz w:val="32"/>
          <w:szCs w:val="32"/>
          <w:lang w:val="zh-CN" w:eastAsia="zh-CN"/>
        </w:rPr>
        <w:t>第一次拔罐选择背部督脉、膀胱经及周围皮部阿是穴；第二次拔罐选择胸腹部任脉与脾、胃经及上肢大肠经肺经、心经穴位和周围皮部阿是穴；第三次拔罐选择下肢膀胱经、胆、脾、胃、肾、肝经及周围皮部阿是穴。</w:t>
      </w:r>
      <w:r>
        <w:rPr>
          <w:rFonts w:hint="eastAsia" w:ascii="仿宋_GB2312" w:hAnsi="宋体" w:eastAsia="仿宋_GB2312"/>
          <w:color w:val="auto"/>
          <w:sz w:val="32"/>
          <w:szCs w:val="32"/>
          <w:lang w:val="en-US" w:eastAsia="zh-CN"/>
        </w:rPr>
        <w:t>第二周再依次循环。②留罐10～15min。③取罐:操作者左手轻轻握住罐子向左侧倾斜,其右手中指和食指下压倾斜对侧罐口处,经罐口漏出空隙,即可将竹罐取下,取罐时勿硬拉或转动,避免损伤病人皮肤。④每周治疗3次,每次拔罐20个左右,或者根据病人舒适度每周拔罐3～4次，如此多经络、多穴位、多部位的大面积循环拔罐，以达到疏通全身经络及调节脏腑功能的作用。1周为1个疗程,治疗2周。</w:t>
      </w:r>
    </w:p>
    <w:p w14:paraId="5E70AC3C">
      <w:pPr>
        <w:ind w:firstLine="643" w:firstLineChars="200"/>
        <w:rPr>
          <w:rFonts w:hint="eastAsia" w:ascii="仿宋_GB2312" w:hAnsi="宋体" w:eastAsia="仿宋_GB2312"/>
          <w:b/>
          <w:bCs/>
          <w:color w:val="auto"/>
          <w:sz w:val="32"/>
          <w:szCs w:val="32"/>
          <w:lang w:val="en-US" w:eastAsia="zh-CN"/>
        </w:rPr>
      </w:pPr>
      <w:r>
        <w:rPr>
          <w:rFonts w:hint="eastAsia" w:ascii="仿宋_GB2312" w:hAnsi="宋体" w:eastAsia="仿宋_GB2312"/>
          <w:b/>
          <w:bCs/>
          <w:color w:val="auto"/>
          <w:sz w:val="32"/>
          <w:szCs w:val="32"/>
          <w:lang w:val="en-US" w:eastAsia="zh-CN"/>
        </w:rPr>
        <w:t>3、分证治疗</w:t>
      </w:r>
    </w:p>
    <w:p w14:paraId="00D05A4D">
      <w:pPr>
        <w:ind w:firstLine="640" w:firstLineChars="200"/>
        <w:rPr>
          <w:rFonts w:hint="default" w:ascii="仿宋_GB2312" w:hAnsi="宋体" w:eastAsia="仿宋_GB2312"/>
          <w:b w:val="0"/>
          <w:bCs w:val="0"/>
          <w:color w:val="auto"/>
          <w:sz w:val="32"/>
          <w:szCs w:val="32"/>
          <w:lang w:val="en-US" w:eastAsia="zh-CN"/>
        </w:rPr>
      </w:pPr>
      <w:r>
        <w:rPr>
          <w:rFonts w:hint="eastAsia" w:ascii="仿宋_GB2312" w:hAnsi="宋体" w:eastAsia="仿宋_GB2312"/>
          <w:b w:val="0"/>
          <w:bCs w:val="0"/>
          <w:color w:val="auto"/>
          <w:sz w:val="32"/>
          <w:szCs w:val="32"/>
          <w:lang w:val="en-US" w:eastAsia="zh-CN"/>
        </w:rPr>
        <w:t>治疗原则主要参照《胃食管反流病中医诊疗专家共识(2023)》，并结合编制单位在竹药罐治疗胃食管反流病过程中的经验总结而定。</w:t>
      </w:r>
    </w:p>
    <w:p w14:paraId="03F12A5D">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w:t>
      </w:r>
      <w:r>
        <w:rPr>
          <w:rFonts w:hint="eastAsia" w:ascii="仿宋_GB2312" w:hAnsi="宋体" w:eastAsia="仿宋_GB2312"/>
          <w:color w:val="auto"/>
          <w:sz w:val="32"/>
          <w:szCs w:val="32"/>
          <w:lang w:val="en-US" w:eastAsia="zh-CN"/>
        </w:rPr>
        <w:t>1</w:t>
      </w:r>
      <w:r>
        <w:rPr>
          <w:rFonts w:hint="eastAsia" w:ascii="仿宋_GB2312" w:hAnsi="宋体" w:eastAsia="仿宋_GB2312"/>
          <w:color w:val="auto"/>
          <w:sz w:val="32"/>
          <w:szCs w:val="32"/>
          <w:lang w:val="zh-CN" w:eastAsia="zh-CN"/>
        </w:rPr>
        <w:t>）肝胃郁热证</w:t>
      </w:r>
    </w:p>
    <w:p w14:paraId="112D8D8A">
      <w:pPr>
        <w:ind w:firstLine="640" w:firstLineChars="20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方药、</w:t>
      </w:r>
      <w:r>
        <w:rPr>
          <w:rFonts w:hint="default" w:ascii="仿宋_GB2312" w:hAnsi="宋体" w:eastAsia="仿宋_GB2312"/>
          <w:color w:val="auto"/>
          <w:sz w:val="32"/>
          <w:szCs w:val="32"/>
          <w:lang w:val="en-US" w:eastAsia="zh-CN"/>
        </w:rPr>
        <w:t>经络</w:t>
      </w:r>
      <w:r>
        <w:rPr>
          <w:rFonts w:hint="eastAsia" w:ascii="仿宋_GB2312" w:hAnsi="宋体" w:eastAsia="仿宋_GB2312"/>
          <w:color w:val="auto"/>
          <w:sz w:val="32"/>
          <w:szCs w:val="32"/>
          <w:lang w:val="en-US" w:eastAsia="zh-CN"/>
        </w:rPr>
        <w:t>和</w:t>
      </w:r>
      <w:r>
        <w:rPr>
          <w:rFonts w:hint="default" w:ascii="仿宋_GB2312" w:hAnsi="宋体" w:eastAsia="仿宋_GB2312"/>
          <w:color w:val="auto"/>
          <w:sz w:val="32"/>
          <w:szCs w:val="32"/>
          <w:lang w:val="en-US" w:eastAsia="zh-CN"/>
        </w:rPr>
        <w:t>穴位</w:t>
      </w:r>
      <w:r>
        <w:rPr>
          <w:rFonts w:hint="eastAsia" w:ascii="仿宋_GB2312" w:hAnsi="宋体" w:eastAsia="仿宋_GB2312"/>
          <w:color w:val="auto"/>
          <w:sz w:val="32"/>
          <w:szCs w:val="32"/>
          <w:lang w:val="en-US" w:eastAsia="zh-CN"/>
        </w:rPr>
        <w:t>选择、拔罐操作方法主要参照以下论文，并结合编制单位在竹药罐治疗胃食管反流病过程中的经验总结而定。</w:t>
      </w:r>
    </w:p>
    <w:p w14:paraId="7F1A2093">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 xml:space="preserve">[1]项镇新，张冠成. 疏肝和中汤辅助治疗肝胃郁热型胃食管反流的临床观察[J]. 中医药信息，2022，39(6):68-71. </w:t>
      </w:r>
    </w:p>
    <w:p w14:paraId="78BA8D28">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 xml:space="preserve">[2]范欣，赵坚，高春雨，等. 通腑解郁降逆方对肝胃郁热型胃食管反流病合并抑郁患者食管动力学及生活质量影响[J]. 世界中西医结合杂志，2022，17(3):519-523. </w:t>
      </w:r>
    </w:p>
    <w:p w14:paraId="2CCC18AB">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[3]梁效铭.疏肝和胃方合左金丸加减治疗肝胃郁热型胃食管反流病的疗效及对胃肠激素水平的影响[J]. 中国医药科学，2022，12(5):197-200.</w:t>
      </w:r>
    </w:p>
    <w:p w14:paraId="5AE4497B">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[4]王杰，丁楚，等. 中医治疗胃食管反流病的临床研究进展[J]. 中国中医急症，2023，32(3):532-539.</w:t>
      </w:r>
    </w:p>
    <w:p w14:paraId="3F27BFA6">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[5]徐致君，杨振斌，邱伟，等．左金加味方联合针灸治疗肝胃郁热型胃食管反流病的疗效及对脑肠肽的影响研究[J]．实用临床医药杂志，2024，28(5):63－67.</w:t>
      </w:r>
    </w:p>
    <w:p w14:paraId="10FB2165">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[6]许红丽，王红霞，等．皮内针联合虎符铜砭刮痧干预肝胃郁热型胃食管反流病患者的效果分析[J]．临床医学工程，2023，30(1):127－128.</w:t>
      </w:r>
    </w:p>
    <w:p w14:paraId="3B8D1C7D">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[7]林惠，钟金灵，彭卓嵛. 药物罐联合放血疗法在肝郁型胃食管反流疾病治疗中的应用[J]. 西部中医药，2022，35(02):105-107.</w:t>
      </w:r>
    </w:p>
    <w:p w14:paraId="07747DE1">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[8]彭春妮，潘红霞，吕艳，等. 恒温姜疗联合药物罐治疗阳虚质胃食管反流病的疗效观察[J]. 人人健康，2020(10):142.</w:t>
      </w:r>
    </w:p>
    <w:p w14:paraId="0C008863">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[9]潘红霞，吕艳，曹云云，等. 改良竹药罐法在阳虚质胃食管反流病患者的护理效果观察[J]. 中医临床研究，2021，13(06):40-42.</w:t>
      </w:r>
    </w:p>
    <w:p w14:paraId="425AF85B">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[10]刘尚瑾，高振华，汪唐顺，等. 拔罐疗法的透皮吸收潜力[J]. 光明中医，2024，39(3):621-624.</w:t>
      </w:r>
    </w:p>
    <w:p w14:paraId="763629DB">
      <w:pPr>
        <w:ind w:firstLine="640" w:firstLineChars="200"/>
        <w:rPr>
          <w:rFonts w:hint="default" w:ascii="仿宋_GB2312" w:hAnsi="宋体" w:eastAsia="仿宋_GB2312"/>
          <w:color w:val="auto"/>
          <w:sz w:val="32"/>
          <w:szCs w:val="32"/>
          <w:lang w:val="en-US" w:eastAsia="zh-CN"/>
        </w:rPr>
      </w:pPr>
      <w:r>
        <w:rPr>
          <w:rFonts w:hint="default" w:ascii="仿宋_GB2312" w:hAnsi="宋体" w:eastAsia="仿宋_GB2312"/>
          <w:color w:val="auto"/>
          <w:sz w:val="32"/>
          <w:szCs w:val="32"/>
          <w:lang w:val="en-US" w:eastAsia="zh-CN"/>
        </w:rPr>
        <w:t>[11]中国针灸学会. 循证针灸临床实践指南：拔罐疗法：T/CAAM 0015—2019[S]. 北京：中国中医药出版社， 2019:99-116.</w:t>
      </w:r>
    </w:p>
    <w:p w14:paraId="4197AEC5">
      <w:pPr>
        <w:numPr>
          <w:ilvl w:val="0"/>
          <w:numId w:val="11"/>
        </w:num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胆火上逆证</w:t>
      </w:r>
    </w:p>
    <w:p w14:paraId="50B9C4FE">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方药、经络和穴位选择、拔罐操作方法主要参照以下论文，并结合编制单位在竹药罐治疗胃食管反流病过程中的经验总结而定。</w:t>
      </w:r>
    </w:p>
    <w:p w14:paraId="7B9DE2B8">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[1]肖艳平,周元林.药竹罐疗法治疗脾胃虚寒型胃脘痛的疗效观察及护理[J].护理研究,2011,25(16):1432-1434.</w:t>
      </w:r>
    </w:p>
    <w:p w14:paraId="1A0E17F8">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[2]彭春妮,潘红霞,吕艳,等.恒温姜疗联合药物罐治疗阳虚质胃食管反流病的疗效观察[J].人人健康,2020,(10):142.</w:t>
      </w:r>
    </w:p>
    <w:p w14:paraId="07AB8A8E">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[3]农玉莺,王磊,李建学,等.关于壮医药物竹罐操作标准研制的思考及对策[J].世界科学技术-中医药现代化,2024,26(06):1403-1409.</w:t>
      </w:r>
    </w:p>
    <w:p w14:paraId="280FFB03">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[4]杨群政,王守军,邵粮,等. 中药竹罐泻血疗法联合中药内服治疗膝骨关节炎的临床研究[J]. 中国中医药科技,2016,23(3):257-258,293.</w:t>
      </w:r>
    </w:p>
    <w:p w14:paraId="0677B4FB">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 xml:space="preserve">[5]杨群政,王守军,邵粮,等. 中药竹罐泻血疗法联合辩证中药内服治疗膝骨关节病的临床研究[Z]. 富阳市中医医院. 2014. </w:t>
      </w:r>
    </w:p>
    <w:p w14:paraId="51CE2EF3">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 xml:space="preserve">[6]邓敏,陆映兰,苏锦燕,等. 拔罐疗法联合穴位敷贴、中药熏洗对蛇伤溃疡预防作用的临床研究[Z]. 梧州市中西医结合医院. 2021. </w:t>
      </w:r>
    </w:p>
    <w:p w14:paraId="3F989478">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[7]施朝佳,曹知勇,覃歆媛,等. 壮医药物竹罐疗法研究近况[J]. 广西中医药,2022,45(3):72-74. DOI:10.3969/j.issn.1003-0719.2022.03.023.</w:t>
      </w:r>
    </w:p>
    <w:p w14:paraId="14906F60">
      <w:pPr>
        <w:numPr>
          <w:numId w:val="0"/>
        </w:numPr>
        <w:ind w:left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w:t>
      </w:r>
      <w:r>
        <w:rPr>
          <w:rFonts w:hint="eastAsia" w:ascii="仿宋_GB2312" w:hAnsi="宋体" w:eastAsia="仿宋_GB2312"/>
          <w:color w:val="auto"/>
          <w:sz w:val="32"/>
          <w:szCs w:val="32"/>
          <w:lang w:val="en-US" w:eastAsia="zh-CN"/>
        </w:rPr>
        <w:t>3</w:t>
      </w:r>
      <w:r>
        <w:rPr>
          <w:rFonts w:hint="eastAsia" w:ascii="仿宋_GB2312" w:hAnsi="宋体" w:eastAsia="仿宋_GB2312"/>
          <w:color w:val="auto"/>
          <w:sz w:val="32"/>
          <w:szCs w:val="32"/>
          <w:lang w:val="zh-CN" w:eastAsia="zh-CN"/>
        </w:rPr>
        <w:t>）气郁痰阻证</w:t>
      </w:r>
    </w:p>
    <w:p w14:paraId="0B391A5A">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方药、经络和穴位选择、拔罐操作方法主要参照以下论文，并结合编制单位在竹药罐治疗胃食管反流病过程中的经验总结而定。</w:t>
      </w:r>
    </w:p>
    <w:p w14:paraId="4FC68EFC">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[1]陈玥. 舒郁降逆方治疗反流性食管炎气郁痰阻证的临床疗效观察[D]. 山东中医药大学，2023.</w:t>
      </w:r>
    </w:p>
    <w:p w14:paraId="7AA20E95">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[2]杜慧娟，尚可，范玉潇，等. 开郁化痰汤治疗胃食管反流病气郁痰阻证临床观察 [J]. 山西中医, 2023,，39 (12): 42-44. </w:t>
      </w:r>
    </w:p>
    <w:p w14:paraId="36435DFA">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[3]刘倩. 旋覆代赭汤联合针刺治疗气郁痰阻型反流性食管炎的临床研究[J]. 中国中医药现代远程教育，2023，21(20):68-71.</w:t>
      </w:r>
    </w:p>
    <w:p w14:paraId="591DA529">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[4]潘红霞，吕艳，曹云云，等. 改良竹药罐法在阳虚质胃食管反流病患者的护理效果观察 [J]. 中医临床研究，2021，3(06):40-42.</w:t>
      </w:r>
    </w:p>
    <w:p w14:paraId="2AF60BEA">
      <w:pPr>
        <w:numPr>
          <w:ilvl w:val="0"/>
          <w:numId w:val="12"/>
        </w:num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胸阳不振证</w:t>
      </w:r>
    </w:p>
    <w:p w14:paraId="58C6280A">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方药、经络和穴位选择、拔罐操作方法主要参照以下论文，并结合编制单位在竹药罐治疗胃食管反流病过程中的经验总结而定。</w:t>
      </w:r>
    </w:p>
    <w:p w14:paraId="6F7793C3">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[1]许高凡，李亚鼎，何聪，等. 基于“胃心相关”理论探讨胃食管反流病相关性胸痛中医内涵及发病机制[J]. 北京中医药大学学报，2023，46(05):705-710.</w:t>
      </w:r>
    </w:p>
    <w:p w14:paraId="09B60371">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[2]何聪，周秉舵，朱生樑，等. 朱生樑从“结、郁、虚”论治难治性胃食管反流病胸痛经验[J]时珍国医国药，2023，34(01):195-197.</w:t>
      </w:r>
    </w:p>
    <w:p w14:paraId="6B9EAC6F">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 xml:space="preserve">[3]张丰荣，范晓璇，李志勇，等．基于枳实薤白桂枝汤阐释“胃络通心” 理论及其潜在分子作用机制[J]. 中国实验方剂学杂志，2023，26(24):30． </w:t>
      </w:r>
    </w:p>
    <w:p w14:paraId="63CDA636">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 xml:space="preserve">[4]薛皓方，刘锐，黄文珊，等．基于数据挖掘和网络药理学古方治疗胸痹心痛病的用药规律[J]． 辽宁中医杂志，2020，47(4):148． </w:t>
      </w:r>
    </w:p>
    <w:p w14:paraId="7093BA1C">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[5]许伟明，胡镜清，江丽杰. 《金匮要略》瓜蒌薤白三方治胸痹原意探析[J]. 中华中医药杂志，2017，32，(5):2288．</w:t>
      </w:r>
    </w:p>
    <w:p w14:paraId="72DB8AF1">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[6]周秉舵，王宏伟，王晓素，等. 朱生樑运用通、化、宣、平法辨治脾胃病经验[J]. 中医杂志，2019，60(8):640．</w:t>
      </w:r>
    </w:p>
    <w:p w14:paraId="1CA596CD">
      <w:pPr>
        <w:numPr>
          <w:ilvl w:val="0"/>
          <w:numId w:val="12"/>
        </w:numPr>
        <w:ind w:left="0" w:leftChars="0"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中虚气逆证</w:t>
      </w:r>
    </w:p>
    <w:p w14:paraId="22405C85">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方药、经络和穴位选择、拔罐操作方法主要参照以下论文，并结合编制单位在竹药罐治疗胃食管反流病过程中的经验总结而定。</w:t>
      </w:r>
    </w:p>
    <w:p w14:paraId="7234BAD4">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[1]张声生，朱生樑，王宏伟，等. 胃食管反流病中医诊疗专家共识意见(2017)[J]. 中国中西医结合消化杂志，2017，25(05):321-326.</w:t>
      </w:r>
    </w:p>
    <w:p w14:paraId="2FFF9F91">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[2]陶莘. 药穴指针疗法治疗胃食管反流病的疗效观察[J]. 中医临床研究,2013，5(18):51-52.</w:t>
      </w:r>
    </w:p>
    <w:p w14:paraId="00424E96">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[3]李洁，司勤，严光俊，等. 药穴指针疗法治疗中虚气逆型胃食管反流病的临床观察[J]. 中医临床研究，2017，9(03):83-85.</w:t>
      </w:r>
    </w:p>
    <w:p w14:paraId="6C9BE38D">
      <w:pPr>
        <w:numPr>
          <w:numId w:val="0"/>
        </w:numPr>
        <w:ind w:left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w:t>
      </w:r>
      <w:r>
        <w:rPr>
          <w:rFonts w:hint="eastAsia" w:ascii="仿宋_GB2312" w:hAnsi="宋体" w:eastAsia="仿宋_GB2312"/>
          <w:color w:val="auto"/>
          <w:sz w:val="32"/>
          <w:szCs w:val="32"/>
          <w:lang w:val="en-US" w:eastAsia="zh-CN"/>
        </w:rPr>
        <w:t>6</w:t>
      </w:r>
      <w:r>
        <w:rPr>
          <w:rFonts w:hint="eastAsia" w:ascii="仿宋_GB2312" w:hAnsi="宋体" w:eastAsia="仿宋_GB2312"/>
          <w:color w:val="auto"/>
          <w:sz w:val="32"/>
          <w:szCs w:val="32"/>
          <w:lang w:val="zh-CN" w:eastAsia="zh-CN"/>
        </w:rPr>
        <w:t>）脾虚湿热证</w:t>
      </w:r>
    </w:p>
    <w:p w14:paraId="3FE0AC44">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方药、经络和穴位选择、拔罐操作方法主要参照以下论文，并结合编制单位在竹药罐治疗胃食管反流病过程中的经验总结而定。</w:t>
      </w:r>
    </w:p>
    <w:p w14:paraId="2425431C">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[1]车慧，卞立群，王凤云，等. 健脾化湿、清热和胃治疗脾虚湿热型胃食管反流病[J]. 中医杂志，2019，60(24):2143-2145.DOI:10.13288/j.11-2166/r.2019.24.017.</w:t>
      </w:r>
    </w:p>
    <w:p w14:paraId="114936D3">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[2]李红艳，孙志广. 运脾和胃、辛开苦降法治疗脾虚湿热型胃食管反流病[J]. 中国医药导刊，2024，26(02):176-180.</w:t>
      </w:r>
    </w:p>
    <w:p w14:paraId="08C1C8AD">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[3]顾世坦，周正华，冀建斌，等. 胃食管反流病中医辨治探析[J]. 陕西中医，2022，43(08):1078-1081.</w:t>
      </w:r>
    </w:p>
    <w:p w14:paraId="60D9CD4A">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[4]范俊锋. 建中清化方联合奥美拉唑治疗脾虚湿热型非糜烂性胃食管反流病临床研究[J]. 福建中医药，2023，54(05):17-19.DOI:10.13260/j.cnki.jfjtcm.2023.05006.</w:t>
      </w:r>
    </w:p>
    <w:p w14:paraId="542559D8">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[5]赵一娜，黄晓燕，林惠，等. 温胃阳汤合盐包烫熨治疗胃食管反流病中阳不运证疗效观察[J]. 广西中医药，2021，44(01):13-16.</w:t>
      </w:r>
    </w:p>
    <w:p w14:paraId="3CE8437C">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[6]刘杨,梁广和.中医治疗胃食管反流病的研究进展[J].中国民间疗法,2024,32(03):119-121.DOI:10.19621/j.cnki.11-3555/r.2024.0336.</w:t>
      </w:r>
    </w:p>
    <w:p w14:paraId="24A090A6">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[7]潘红霞，吕艳，曹云云，等. 改良竹药罐法在阳虚质胃食管反流病患者的护理效果观察[J]. 中医临床研究，2021，13(06):40-42.</w:t>
      </w:r>
    </w:p>
    <w:p w14:paraId="7A38F3F9">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[8]陈卓群,刘凤斌.胃食管反流病中医辨治研究现状及展望[J].新中医,2016,48(05):283-286.DOI:10.13457/j.cnki.jncm.2016.05.106.</w:t>
      </w:r>
    </w:p>
    <w:p w14:paraId="118F1244">
      <w:pPr>
        <w:numPr>
          <w:numId w:val="0"/>
        </w:numPr>
        <w:ind w:left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w:t>
      </w:r>
      <w:r>
        <w:rPr>
          <w:rFonts w:hint="eastAsia" w:ascii="仿宋_GB2312" w:hAnsi="宋体" w:eastAsia="仿宋_GB2312"/>
          <w:color w:val="auto"/>
          <w:sz w:val="32"/>
          <w:szCs w:val="32"/>
          <w:lang w:val="en-US" w:eastAsia="zh-CN"/>
        </w:rPr>
        <w:t>7</w:t>
      </w:r>
      <w:r>
        <w:rPr>
          <w:rFonts w:hint="eastAsia" w:ascii="仿宋_GB2312" w:hAnsi="宋体" w:eastAsia="仿宋_GB2312"/>
          <w:color w:val="auto"/>
          <w:sz w:val="32"/>
          <w:szCs w:val="32"/>
          <w:lang w:val="zh-CN" w:eastAsia="zh-CN"/>
        </w:rPr>
        <w:t>）胃阴不足证</w:t>
      </w:r>
    </w:p>
    <w:p w14:paraId="7848FF77">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方药、经络和穴位选择、拔罐操作方法主要参照以下论文，并结合编制单位在竹药罐治疗胃食管反流病过程中的经验总结而定。</w:t>
      </w:r>
    </w:p>
    <w:p w14:paraId="44E84693">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[1]张北华，周秉舵，唐旭东. 胃食管反流病中医诊疗专家共识（2023）[J]. 中医杂志，2023，64(18):1935-1944.DOI:10.13288/j.11-2166/r.2023.18.019.</w:t>
      </w:r>
    </w:p>
    <w:p w14:paraId="24A9C694">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[2]刘强. 调脾益胃汤联合西药治疗胆汁反流性胃炎临床观察[J]. 中国中医药现代远程教育，2023，21(20):138-140.</w:t>
      </w:r>
    </w:p>
    <w:p w14:paraId="1F415B39">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[3]崔颖竹. 胃阴亏虚型慢性胃炎应用益胃汤合芍药甘草汤治疗的效果[J]. 内蒙古中医药，2023，42(09):46-48.DOI:10.16040/j.cnki.cn15-1101.2023.09.019.</w:t>
      </w:r>
    </w:p>
    <w:p w14:paraId="1E2A772D">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[4]陈丽，信建军，陈鹏. 益胃汤合麦门冬汤对胃阴亏虚型慢性胃炎患者的临床疗效[J]. 中成药，2022，44(07):2157-2161.</w:t>
      </w:r>
    </w:p>
    <w:p w14:paraId="311A338C">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[5]赵保团，孟淼，程红杰，等. 养胃汤治疗胃阴不足型慢性萎缩性胃炎的临床疗效观察. 黑龙江中医药，2020，49(5):26-27.</w:t>
      </w:r>
    </w:p>
    <w:p w14:paraId="394F20BC">
      <w:pPr>
        <w:ind w:firstLine="643" w:firstLineChars="200"/>
        <w:rPr>
          <w:rFonts w:hint="default" w:ascii="仿宋_GB2312" w:hAnsi="宋体" w:eastAsia="仿宋_GB2312"/>
          <w:b/>
          <w:bCs/>
          <w:color w:val="auto"/>
          <w:sz w:val="32"/>
          <w:szCs w:val="32"/>
          <w:lang w:val="en-US" w:eastAsia="zh-CN"/>
        </w:rPr>
      </w:pPr>
      <w:r>
        <w:rPr>
          <w:rFonts w:hint="eastAsia" w:ascii="仿宋_GB2312" w:hAnsi="宋体" w:eastAsia="仿宋_GB2312"/>
          <w:b/>
          <w:bCs/>
          <w:color w:val="auto"/>
          <w:sz w:val="32"/>
          <w:szCs w:val="32"/>
          <w:lang w:val="en-US" w:eastAsia="zh-CN"/>
        </w:rPr>
        <w:t>4、注意事项</w:t>
      </w:r>
    </w:p>
    <w:p w14:paraId="7ED24F96">
      <w:pPr>
        <w:ind w:firstLine="640" w:firstLineChars="20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主要参照《图解拔罐疗法》《速学中医拔罐疗法》《中医特色技术创新及在脾胃病临床应用》等相关资料及编制单位在竹药罐治疗胃食管反流病过程中的经验总结而定。</w:t>
      </w:r>
    </w:p>
    <w:p w14:paraId="796587D2">
      <w:pPr>
        <w:pStyle w:val="29"/>
        <w:numPr>
          <w:ilvl w:val="0"/>
          <w:numId w:val="9"/>
        </w:numPr>
        <w:autoSpaceDE w:val="0"/>
        <w:autoSpaceDN w:val="0"/>
        <w:adjustRightInd w:val="0"/>
        <w:spacing w:before="156" w:beforeLines="50" w:after="156" w:afterLines="50" w:line="560" w:lineRule="exact"/>
        <w:ind w:firstLineChars="0"/>
        <w:jc w:val="left"/>
        <w:rPr>
          <w:rFonts w:hint="eastAsia" w:ascii="仿宋_GB2312" w:hAnsi="宋体" w:eastAsia="仿宋_GB2312"/>
          <w:b/>
          <w:color w:val="auto"/>
          <w:sz w:val="32"/>
          <w:szCs w:val="32"/>
          <w:lang w:val="zh-CN"/>
        </w:rPr>
      </w:pPr>
      <w:r>
        <w:rPr>
          <w:rFonts w:hint="eastAsia" w:ascii="仿宋_GB2312" w:hAnsi="宋体" w:eastAsia="仿宋_GB2312"/>
          <w:b/>
          <w:color w:val="auto"/>
          <w:sz w:val="32"/>
          <w:szCs w:val="32"/>
          <w:lang w:val="zh-CN"/>
        </w:rPr>
        <w:t>不良反应处理</w:t>
      </w:r>
    </w:p>
    <w:p w14:paraId="7B0BEE2A">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en-US" w:eastAsia="zh-CN"/>
        </w:rPr>
        <w:t>主要根据编制单位在竹药罐治疗胃食管反流病过程中的经验总结而定，不良反应包括擦伤、</w:t>
      </w:r>
      <w:r>
        <w:rPr>
          <w:rFonts w:hint="eastAsia" w:ascii="仿宋_GB2312" w:hAnsi="宋体" w:eastAsia="仿宋_GB2312"/>
          <w:color w:val="auto"/>
          <w:sz w:val="32"/>
          <w:szCs w:val="32"/>
          <w:lang w:val="zh-CN" w:eastAsia="zh-CN"/>
        </w:rPr>
        <w:t>水疱、</w:t>
      </w:r>
      <w:r>
        <w:rPr>
          <w:rFonts w:hint="eastAsia" w:ascii="仿宋_GB2312" w:hAnsi="宋体" w:eastAsia="仿宋_GB2312"/>
          <w:color w:val="auto"/>
          <w:sz w:val="32"/>
          <w:szCs w:val="32"/>
          <w:lang w:val="en-US" w:eastAsia="zh-CN"/>
        </w:rPr>
        <w:t>烫伤、晕罐。（1）</w:t>
      </w:r>
      <w:r>
        <w:rPr>
          <w:rFonts w:hint="eastAsia" w:ascii="仿宋_GB2312" w:hAnsi="宋体" w:eastAsia="仿宋_GB2312"/>
          <w:color w:val="auto"/>
          <w:sz w:val="32"/>
          <w:szCs w:val="32"/>
          <w:lang w:val="zh-CN" w:eastAsia="zh-CN"/>
        </w:rPr>
        <w:t>患者出现局部皮肤表面擦伤、破损等症状时，应停止在相应皮损处操作，对局部皮肤进行消毒处理。（</w:t>
      </w: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lang w:val="zh-CN" w:eastAsia="zh-CN"/>
        </w:rPr>
        <w:t>）小水疱无须处理，防止擦破，可自行吸收即可。大水疱用常规碘酊或酒精消毒后，用一次性注射器在水疱的边缘刺入，放出液体，并涂以湿润烧伤膏，敷上消毒纱布。（</w:t>
      </w:r>
      <w:r>
        <w:rPr>
          <w:rFonts w:hint="eastAsia" w:ascii="仿宋_GB2312" w:hAnsi="宋体" w:eastAsia="仿宋_GB2312"/>
          <w:color w:val="auto"/>
          <w:sz w:val="32"/>
          <w:szCs w:val="32"/>
          <w:lang w:val="en-US" w:eastAsia="zh-CN"/>
        </w:rPr>
        <w:t>3</w:t>
      </w:r>
      <w:r>
        <w:rPr>
          <w:rFonts w:hint="eastAsia" w:ascii="仿宋_GB2312" w:hAnsi="宋体" w:eastAsia="仿宋_GB2312"/>
          <w:color w:val="auto"/>
          <w:sz w:val="32"/>
          <w:szCs w:val="32"/>
          <w:lang w:val="zh-CN" w:eastAsia="zh-CN"/>
        </w:rPr>
        <w:t>）皮肤出现损伤，用碘酊或酒精消毒，涂以湿润烧伤膏，敷上消毒纱布。（</w:t>
      </w:r>
      <w:r>
        <w:rPr>
          <w:rFonts w:hint="eastAsia" w:ascii="仿宋_GB2312" w:hAnsi="宋体" w:eastAsia="仿宋_GB2312"/>
          <w:color w:val="auto"/>
          <w:sz w:val="32"/>
          <w:szCs w:val="32"/>
          <w:lang w:val="en-US" w:eastAsia="zh-CN"/>
        </w:rPr>
        <w:t>4</w:t>
      </w:r>
      <w:r>
        <w:rPr>
          <w:rFonts w:hint="eastAsia" w:ascii="仿宋_GB2312" w:hAnsi="宋体" w:eastAsia="仿宋_GB2312"/>
          <w:color w:val="auto"/>
          <w:sz w:val="32"/>
          <w:szCs w:val="32"/>
          <w:lang w:val="zh-CN" w:eastAsia="zh-CN"/>
        </w:rPr>
        <w:t>）拔罐期间应密切观察患者的反应，若出现头晕、恶心、呕吐、面色苍白、出冷汗、四肢发凉等症状，甚至血压下降、呼吸困难等情况，应及时取下罐具，将患者于仰卧位平放，垫高脚部，轻者可遵医嘱给予少量温开水休息片刻即可缓解，重者点按、人中、合谷、内关等穴，测量患者生命征情况，并报告医生及配合处理。</w:t>
      </w:r>
    </w:p>
    <w:p w14:paraId="60F02666">
      <w:pPr>
        <w:pStyle w:val="29"/>
        <w:numPr>
          <w:ilvl w:val="0"/>
          <w:numId w:val="9"/>
        </w:numPr>
        <w:autoSpaceDE w:val="0"/>
        <w:autoSpaceDN w:val="0"/>
        <w:adjustRightInd w:val="0"/>
        <w:spacing w:before="156" w:beforeLines="50" w:after="156" w:afterLines="50" w:line="560" w:lineRule="exact"/>
        <w:ind w:firstLineChars="0"/>
        <w:jc w:val="left"/>
        <w:rPr>
          <w:rFonts w:hint="eastAsia" w:ascii="仿宋_GB2312" w:hAnsi="宋体" w:eastAsia="仿宋_GB2312"/>
          <w:b/>
          <w:color w:val="auto"/>
          <w:sz w:val="32"/>
          <w:szCs w:val="32"/>
          <w:lang w:val="zh-CN"/>
        </w:rPr>
      </w:pPr>
      <w:r>
        <w:rPr>
          <w:rFonts w:hint="eastAsia" w:ascii="仿宋_GB2312" w:hAnsi="宋体" w:eastAsia="仿宋_GB2312"/>
          <w:b/>
          <w:color w:val="auto"/>
          <w:sz w:val="32"/>
          <w:szCs w:val="32"/>
          <w:lang w:val="zh-CN"/>
        </w:rPr>
        <w:t>日常调护</w:t>
      </w:r>
    </w:p>
    <w:p w14:paraId="77FDF28A">
      <w:pPr>
        <w:ind w:firstLine="643" w:firstLineChars="200"/>
        <w:rPr>
          <w:rFonts w:hint="eastAsia" w:ascii="仿宋_GB2312" w:hAnsi="宋体" w:eastAsia="仿宋_GB2312"/>
          <w:b/>
          <w:bCs/>
          <w:color w:val="auto"/>
          <w:sz w:val="32"/>
          <w:szCs w:val="32"/>
          <w:lang w:val="zh-CN" w:eastAsia="zh-CN"/>
        </w:rPr>
      </w:pPr>
      <w:r>
        <w:rPr>
          <w:rFonts w:hint="eastAsia" w:ascii="仿宋_GB2312" w:hAnsi="宋体" w:eastAsia="仿宋_GB2312"/>
          <w:b/>
          <w:bCs/>
          <w:color w:val="auto"/>
          <w:sz w:val="32"/>
          <w:szCs w:val="32"/>
          <w:lang w:val="en-US" w:eastAsia="zh-CN"/>
        </w:rPr>
        <w:t>1、</w:t>
      </w:r>
      <w:r>
        <w:rPr>
          <w:rFonts w:hint="eastAsia" w:ascii="仿宋_GB2312" w:hAnsi="宋体" w:eastAsia="仿宋_GB2312"/>
          <w:b/>
          <w:bCs/>
          <w:color w:val="auto"/>
          <w:sz w:val="32"/>
          <w:szCs w:val="32"/>
          <w:lang w:val="zh-CN" w:eastAsia="zh-CN"/>
        </w:rPr>
        <w:t>饮食调护</w:t>
      </w:r>
    </w:p>
    <w:p w14:paraId="480A562D">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en-US" w:eastAsia="zh-CN"/>
        </w:rPr>
        <w:t>参照</w:t>
      </w:r>
      <w:r>
        <w:rPr>
          <w:rFonts w:hint="eastAsia" w:ascii="仿宋_GB2312" w:hAnsi="宋体" w:eastAsia="仿宋_GB2312"/>
          <w:color w:val="auto"/>
          <w:sz w:val="32"/>
          <w:szCs w:val="32"/>
          <w:lang w:val="zh-CN" w:eastAsia="zh-CN"/>
        </w:rPr>
        <w:t>《艾灸联合中医饮食护理在慢性胃炎患者中的应用》、《食管炎患者的中医情志护理及饮食调》、《基于“胃以喜为补”理论探讨中医饮食的补养原则》、《胃癌术后化疗患者的中医饮食调养》等相关资料及编制单位在竹药罐治疗胃食管反流病过程中</w:t>
      </w:r>
      <w:r>
        <w:rPr>
          <w:rFonts w:hint="eastAsia" w:ascii="仿宋_GB2312" w:hAnsi="宋体" w:eastAsia="仿宋_GB2312"/>
          <w:color w:val="auto"/>
          <w:sz w:val="32"/>
          <w:szCs w:val="32"/>
          <w:lang w:val="en-US" w:eastAsia="zh-CN"/>
        </w:rPr>
        <w:t>患者饮食</w:t>
      </w:r>
      <w:r>
        <w:rPr>
          <w:rFonts w:hint="eastAsia" w:ascii="仿宋_GB2312" w:hAnsi="宋体" w:eastAsia="仿宋_GB2312"/>
          <w:color w:val="auto"/>
          <w:sz w:val="32"/>
          <w:szCs w:val="32"/>
          <w:lang w:val="zh-CN" w:eastAsia="zh-CN"/>
        </w:rPr>
        <w:t>的经验总结而定。</w:t>
      </w:r>
    </w:p>
    <w:p w14:paraId="25DDCC8C">
      <w:pPr>
        <w:ind w:firstLine="643" w:firstLineChars="200"/>
        <w:rPr>
          <w:rFonts w:hint="eastAsia" w:ascii="仿宋_GB2312" w:hAnsi="宋体" w:eastAsia="仿宋_GB2312"/>
          <w:b/>
          <w:bCs/>
          <w:color w:val="auto"/>
          <w:sz w:val="32"/>
          <w:szCs w:val="32"/>
          <w:lang w:val="zh-CN" w:eastAsia="zh-CN"/>
        </w:rPr>
      </w:pPr>
      <w:r>
        <w:rPr>
          <w:rFonts w:hint="eastAsia" w:ascii="仿宋_GB2312" w:hAnsi="宋体" w:eastAsia="仿宋_GB2312"/>
          <w:b/>
          <w:bCs/>
          <w:color w:val="auto"/>
          <w:sz w:val="32"/>
          <w:szCs w:val="32"/>
          <w:lang w:val="en-US" w:eastAsia="zh-CN"/>
        </w:rPr>
        <w:t>2、</w:t>
      </w:r>
      <w:r>
        <w:rPr>
          <w:rFonts w:hint="eastAsia" w:ascii="仿宋_GB2312" w:hAnsi="宋体" w:eastAsia="仿宋_GB2312"/>
          <w:b/>
          <w:bCs/>
          <w:color w:val="auto"/>
          <w:sz w:val="32"/>
          <w:szCs w:val="32"/>
          <w:lang w:val="zh-CN" w:eastAsia="zh-CN"/>
        </w:rPr>
        <w:t>情志护理</w:t>
      </w:r>
    </w:p>
    <w:p w14:paraId="69FA0B27">
      <w:pPr>
        <w:ind w:firstLine="640" w:firstLineChars="20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主要从精神支持方面考虑，要求了解患者心理状态，指导患者避免忧思恼怒，保持乐观情绪。鼓励家属多陪伴患者，给予患者心理支持。针对患者不良情绪，指导采用移情相制疗法，转移其注意力，淡化、消除不良情志；针对患者焦虑或抑郁的情绪变化，可采用暗示疗法，如言语暗示、情境暗示等，解除患者心理上的压力和负担。鼓励患者间沟通，交流疾病防治经验，提高对疾病的认识，增强治疗信心。</w:t>
      </w:r>
    </w:p>
    <w:p w14:paraId="063B255D">
      <w:pPr>
        <w:ind w:firstLine="643" w:firstLineChars="200"/>
        <w:rPr>
          <w:rFonts w:hint="eastAsia" w:ascii="仿宋_GB2312" w:hAnsi="宋体" w:eastAsia="仿宋_GB2312"/>
          <w:b/>
          <w:bCs/>
          <w:color w:val="auto"/>
          <w:sz w:val="32"/>
          <w:szCs w:val="32"/>
          <w:lang w:val="zh-CN" w:eastAsia="zh-CN"/>
        </w:rPr>
      </w:pPr>
      <w:r>
        <w:rPr>
          <w:rFonts w:hint="eastAsia" w:ascii="仿宋_GB2312" w:hAnsi="宋体" w:eastAsia="仿宋_GB2312"/>
          <w:b/>
          <w:bCs/>
          <w:color w:val="auto"/>
          <w:sz w:val="32"/>
          <w:szCs w:val="32"/>
          <w:lang w:val="en-US" w:eastAsia="zh-CN"/>
        </w:rPr>
        <w:t>3、</w:t>
      </w:r>
      <w:r>
        <w:rPr>
          <w:rFonts w:hint="eastAsia" w:ascii="仿宋_GB2312" w:hAnsi="宋体" w:eastAsia="仿宋_GB2312"/>
          <w:b/>
          <w:bCs/>
          <w:color w:val="auto"/>
          <w:sz w:val="32"/>
          <w:szCs w:val="32"/>
          <w:lang w:val="zh-CN" w:eastAsia="zh-CN"/>
        </w:rPr>
        <w:t>起居调护</w:t>
      </w:r>
    </w:p>
    <w:p w14:paraId="58CF792D">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主要根据编制单位在竹药罐治疗胃食管反流病过程中的经验总结而定。</w:t>
      </w:r>
      <w:r>
        <w:rPr>
          <w:rFonts w:hint="eastAsia" w:ascii="仿宋_GB2312" w:hAnsi="宋体" w:eastAsia="仿宋_GB2312"/>
          <w:color w:val="auto"/>
          <w:sz w:val="32"/>
          <w:szCs w:val="32"/>
          <w:lang w:val="en-US" w:eastAsia="zh-CN"/>
        </w:rPr>
        <w:t>建议</w:t>
      </w:r>
      <w:r>
        <w:rPr>
          <w:rFonts w:hint="eastAsia" w:ascii="仿宋_GB2312" w:hAnsi="宋体" w:eastAsia="仿宋_GB2312"/>
          <w:color w:val="auto"/>
          <w:sz w:val="32"/>
          <w:szCs w:val="32"/>
          <w:lang w:val="zh-CN" w:eastAsia="zh-CN"/>
        </w:rPr>
        <w:t>季节变化时注意胃区保暖，避免受凉。保持病室安静，定时通风，室温18 ℃～22 ℃，湿度50％～60％为宜。由于反流易发生在夜间，睡眠时应抬高床头30°。餐后宜取直立位或0.5 h～1.5 h后进行散步，运动时间30 min～40 min，以身体发热、微汗、不感到疲劳为宜。睡前不进食，晚餐与入睡的时间间隔</w:t>
      </w:r>
      <w:r>
        <w:rPr>
          <w:rFonts w:hint="eastAsia" w:ascii="仿宋_GB2312" w:hAnsi="宋体" w:eastAsia="仿宋_GB2312"/>
          <w:color w:val="auto"/>
          <w:sz w:val="32"/>
          <w:szCs w:val="32"/>
          <w:lang w:val="en-US" w:eastAsia="zh-CN"/>
        </w:rPr>
        <w:t>不少于</w:t>
      </w:r>
      <w:r>
        <w:rPr>
          <w:rFonts w:hint="eastAsia" w:ascii="仿宋_GB2312" w:hAnsi="宋体" w:eastAsia="仿宋_GB2312"/>
          <w:color w:val="auto"/>
          <w:sz w:val="32"/>
          <w:szCs w:val="32"/>
          <w:lang w:val="zh-CN" w:eastAsia="zh-CN"/>
        </w:rPr>
        <w:t>3 h；不穿紧身衣，不穿露脐装。</w:t>
      </w:r>
    </w:p>
    <w:p w14:paraId="47ED99EC">
      <w:pPr>
        <w:ind w:firstLine="643" w:firstLineChars="200"/>
        <w:rPr>
          <w:rFonts w:hint="eastAsia" w:ascii="仿宋_GB2312" w:hAnsi="宋体" w:eastAsia="仿宋_GB2312"/>
          <w:b/>
          <w:bCs/>
          <w:color w:val="auto"/>
          <w:sz w:val="32"/>
          <w:szCs w:val="32"/>
          <w:lang w:val="zh-CN" w:eastAsia="zh-CN"/>
        </w:rPr>
      </w:pPr>
      <w:r>
        <w:rPr>
          <w:rFonts w:hint="eastAsia" w:ascii="仿宋_GB2312" w:hAnsi="宋体" w:eastAsia="仿宋_GB2312"/>
          <w:b/>
          <w:bCs/>
          <w:color w:val="auto"/>
          <w:sz w:val="32"/>
          <w:szCs w:val="32"/>
          <w:lang w:val="en-US" w:eastAsia="zh-CN"/>
        </w:rPr>
        <w:t>4、</w:t>
      </w:r>
      <w:r>
        <w:rPr>
          <w:rFonts w:hint="eastAsia" w:ascii="仿宋_GB2312" w:hAnsi="宋体" w:eastAsia="仿宋_GB2312"/>
          <w:b/>
          <w:bCs/>
          <w:color w:val="auto"/>
          <w:sz w:val="32"/>
          <w:szCs w:val="32"/>
          <w:lang w:val="zh-CN" w:eastAsia="zh-CN"/>
        </w:rPr>
        <w:t>康复指导</w:t>
      </w:r>
    </w:p>
    <w:p w14:paraId="2C3A7CC8">
      <w:pPr>
        <w:ind w:firstLine="640" w:firstLineChars="200"/>
        <w:rPr>
          <w:rFonts w:hint="eastAsia" w:ascii="仿宋_GB2312" w:hAnsi="宋体" w:eastAsia="仿宋_GB2312"/>
          <w:color w:val="auto"/>
          <w:sz w:val="32"/>
          <w:szCs w:val="32"/>
          <w:lang w:val="zh-CN" w:eastAsia="zh-CN"/>
        </w:rPr>
      </w:pPr>
      <w:r>
        <w:rPr>
          <w:rFonts w:hint="eastAsia" w:ascii="仿宋_GB2312" w:hAnsi="宋体" w:eastAsia="仿宋_GB2312"/>
          <w:color w:val="auto"/>
          <w:sz w:val="32"/>
          <w:szCs w:val="32"/>
          <w:lang w:val="zh-CN" w:eastAsia="zh-CN"/>
        </w:rPr>
        <w:t>睡前腹部按摩，</w:t>
      </w:r>
      <w:r>
        <w:rPr>
          <w:rFonts w:hint="eastAsia" w:ascii="仿宋_GB2312" w:hAnsi="宋体" w:eastAsia="仿宋_GB2312"/>
          <w:color w:val="auto"/>
          <w:sz w:val="32"/>
          <w:szCs w:val="32"/>
          <w:lang w:val="en-US" w:eastAsia="zh-CN"/>
        </w:rPr>
        <w:t>即</w:t>
      </w:r>
      <w:r>
        <w:rPr>
          <w:rFonts w:hint="eastAsia" w:ascii="仿宋_GB2312" w:hAnsi="宋体" w:eastAsia="仿宋_GB2312"/>
          <w:color w:val="auto"/>
          <w:sz w:val="32"/>
          <w:szCs w:val="32"/>
          <w:lang w:val="zh-CN" w:eastAsia="zh-CN"/>
        </w:rPr>
        <w:t>仰卧位双腿屈曲，用右手的掌心在腹部按顺时针方向做绕圈按摩，也可从上腹往下腹缓缓按摩，每天进行3～4次，每次5 min～10 min。</w:t>
      </w:r>
      <w:r>
        <w:rPr>
          <w:rFonts w:hint="eastAsia" w:ascii="仿宋_GB2312" w:hAnsi="宋体" w:eastAsia="仿宋_GB2312"/>
          <w:color w:val="auto"/>
          <w:sz w:val="32"/>
          <w:szCs w:val="32"/>
          <w:lang w:val="en-US" w:eastAsia="zh-CN"/>
        </w:rPr>
        <w:t>同时</w:t>
      </w:r>
      <w:r>
        <w:rPr>
          <w:rFonts w:hint="eastAsia" w:ascii="仿宋_GB2312" w:hAnsi="宋体" w:eastAsia="仿宋_GB2312"/>
          <w:color w:val="auto"/>
          <w:sz w:val="32"/>
          <w:szCs w:val="32"/>
          <w:lang w:val="zh-CN" w:eastAsia="zh-CN"/>
        </w:rPr>
        <w:t>鼓励肥胖患者调整饮食结构，平衡营养，减轻体的重量，将身体质量指数(BMI)控制在＜25 kg/m2。患者或家属知晓疾病辅助检查阳性结果及复诊的要求。</w:t>
      </w:r>
    </w:p>
    <w:p w14:paraId="412D30FF">
      <w:pPr>
        <w:autoSpaceDE w:val="0"/>
        <w:autoSpaceDN w:val="0"/>
        <w:adjustRightInd w:val="0"/>
        <w:spacing w:before="156" w:beforeLines="50" w:after="156" w:afterLines="50" w:line="560" w:lineRule="exact"/>
        <w:ind w:firstLine="640" w:firstLineChars="200"/>
        <w:jc w:val="left"/>
        <w:rPr>
          <w:rFonts w:ascii="黑体" w:hAnsi="黑体" w:eastAsia="黑体" w:cs="仿宋_GB2312"/>
          <w:color w:val="auto"/>
          <w:sz w:val="32"/>
          <w:szCs w:val="32"/>
        </w:rPr>
      </w:pPr>
      <w:bookmarkStart w:id="2" w:name="_Toc526940086"/>
      <w:r>
        <w:rPr>
          <w:rFonts w:hint="eastAsia" w:ascii="黑体" w:hAnsi="黑体" w:eastAsia="黑体" w:cs="仿宋_GB2312"/>
          <w:color w:val="auto"/>
          <w:sz w:val="32"/>
          <w:szCs w:val="32"/>
        </w:rPr>
        <w:t>六、</w:t>
      </w:r>
      <w:bookmarkEnd w:id="2"/>
      <w:r>
        <w:rPr>
          <w:rFonts w:hint="eastAsia" w:ascii="黑体" w:hAnsi="黑体" w:eastAsia="黑体" w:cs="仿宋_GB2312"/>
          <w:color w:val="auto"/>
          <w:sz w:val="32"/>
          <w:szCs w:val="32"/>
        </w:rPr>
        <w:t>重大分歧意见的处理经过和依据</w:t>
      </w:r>
    </w:p>
    <w:p w14:paraId="7DBD7D8D">
      <w:pPr>
        <w:spacing w:line="560" w:lineRule="exact"/>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本标准研制过程中无重大分歧意见。</w:t>
      </w:r>
    </w:p>
    <w:p w14:paraId="69867F09">
      <w:pPr>
        <w:autoSpaceDE w:val="0"/>
        <w:autoSpaceDN w:val="0"/>
        <w:adjustRightInd w:val="0"/>
        <w:spacing w:before="156" w:beforeLines="50" w:after="156" w:afterLines="50" w:line="560" w:lineRule="exact"/>
        <w:ind w:firstLine="640" w:firstLineChars="200"/>
        <w:jc w:val="left"/>
        <w:rPr>
          <w:rFonts w:ascii="黑体" w:hAnsi="黑体" w:eastAsia="黑体" w:cs="仿宋_GB2312"/>
          <w:color w:val="auto"/>
          <w:sz w:val="32"/>
          <w:szCs w:val="32"/>
        </w:rPr>
      </w:pPr>
      <w:r>
        <w:rPr>
          <w:rFonts w:hint="eastAsia" w:ascii="黑体" w:hAnsi="黑体" w:eastAsia="黑体" w:cs="仿宋_GB2312"/>
          <w:color w:val="auto"/>
          <w:sz w:val="32"/>
          <w:szCs w:val="32"/>
        </w:rPr>
        <w:t>七</w:t>
      </w:r>
      <w:r>
        <w:rPr>
          <w:rFonts w:ascii="黑体" w:hAnsi="黑体" w:eastAsia="黑体" w:cs="仿宋_GB2312"/>
          <w:color w:val="auto"/>
          <w:sz w:val="32"/>
          <w:szCs w:val="32"/>
        </w:rPr>
        <w:t>、</w:t>
      </w:r>
      <w:r>
        <w:rPr>
          <w:rFonts w:hint="eastAsia" w:ascii="黑体" w:hAnsi="黑体" w:eastAsia="黑体" w:cs="仿宋_GB2312"/>
          <w:color w:val="auto"/>
          <w:sz w:val="32"/>
          <w:szCs w:val="32"/>
        </w:rPr>
        <w:t>实施标准的措施</w:t>
      </w:r>
    </w:p>
    <w:p w14:paraId="67C45D00">
      <w:pPr>
        <w:spacing w:line="560" w:lineRule="exact"/>
        <w:ind w:firstLine="643" w:firstLineChars="200"/>
        <w:rPr>
          <w:rFonts w:ascii="仿宋_GB2312" w:hAnsi="宋体" w:eastAsia="仿宋_GB2312"/>
          <w:b/>
          <w:color w:val="auto"/>
          <w:sz w:val="32"/>
          <w:szCs w:val="28"/>
        </w:rPr>
      </w:pPr>
      <w:r>
        <w:rPr>
          <w:rFonts w:hint="eastAsia" w:ascii="仿宋_GB2312" w:hAnsi="宋体" w:eastAsia="仿宋_GB2312"/>
          <w:b/>
          <w:color w:val="auto"/>
          <w:sz w:val="32"/>
          <w:szCs w:val="28"/>
        </w:rPr>
        <w:t>（一）标准报批发布后，成立标准宣贯工作组</w:t>
      </w:r>
    </w:p>
    <w:p w14:paraId="7330B5F1">
      <w:pPr>
        <w:spacing w:line="560" w:lineRule="exact"/>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EC0E2CD">
      <w:pPr>
        <w:spacing w:line="560" w:lineRule="exact"/>
        <w:ind w:firstLine="643" w:firstLineChars="200"/>
        <w:rPr>
          <w:rFonts w:ascii="仿宋_GB2312" w:hAnsi="宋体" w:eastAsia="仿宋_GB2312"/>
          <w:b/>
          <w:color w:val="auto"/>
          <w:sz w:val="32"/>
          <w:szCs w:val="28"/>
        </w:rPr>
      </w:pPr>
      <w:r>
        <w:rPr>
          <w:rFonts w:hint="eastAsia" w:ascii="仿宋_GB2312" w:hAnsi="宋体" w:eastAsia="仿宋_GB2312"/>
          <w:b/>
          <w:color w:val="auto"/>
          <w:sz w:val="32"/>
          <w:szCs w:val="28"/>
        </w:rPr>
        <w:t>（二）组织开展标准宣贯培训</w:t>
      </w:r>
    </w:p>
    <w:p w14:paraId="38C99CE1">
      <w:pPr>
        <w:spacing w:line="560" w:lineRule="exact"/>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29942561">
      <w:pPr>
        <w:spacing w:line="560" w:lineRule="exact"/>
        <w:ind w:firstLine="643" w:firstLineChars="200"/>
        <w:rPr>
          <w:rFonts w:ascii="仿宋_GB2312" w:hAnsi="宋体" w:eastAsia="仿宋_GB2312"/>
          <w:b/>
          <w:color w:val="auto"/>
          <w:sz w:val="32"/>
          <w:szCs w:val="28"/>
        </w:rPr>
      </w:pPr>
      <w:r>
        <w:rPr>
          <w:rFonts w:hint="eastAsia" w:ascii="仿宋_GB2312" w:hAnsi="宋体" w:eastAsia="仿宋_GB2312"/>
          <w:b/>
          <w:color w:val="auto"/>
          <w:sz w:val="32"/>
          <w:szCs w:val="28"/>
        </w:rPr>
        <w:t>（三）开展标准实施交流会，收集标准实施反馈信息</w:t>
      </w:r>
    </w:p>
    <w:p w14:paraId="336AB236">
      <w:pPr>
        <w:spacing w:line="560" w:lineRule="exact"/>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1F438F65">
      <w:pPr>
        <w:spacing w:line="560" w:lineRule="exact"/>
        <w:ind w:firstLine="643" w:firstLineChars="200"/>
        <w:rPr>
          <w:rFonts w:ascii="仿宋_GB2312" w:hAnsi="宋体" w:eastAsia="仿宋_GB2312"/>
          <w:b/>
          <w:color w:val="auto"/>
          <w:sz w:val="32"/>
          <w:szCs w:val="28"/>
        </w:rPr>
      </w:pPr>
      <w:r>
        <w:rPr>
          <w:rFonts w:hint="eastAsia" w:ascii="仿宋_GB2312" w:hAnsi="宋体" w:eastAsia="仿宋_GB2312"/>
          <w:b/>
          <w:color w:val="auto"/>
          <w:sz w:val="32"/>
          <w:szCs w:val="28"/>
        </w:rPr>
        <w:t>（四）开展标准实施效果评估</w:t>
      </w:r>
    </w:p>
    <w:p w14:paraId="7DE0DDFE">
      <w:pPr>
        <w:spacing w:line="560" w:lineRule="exact"/>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36B16457">
      <w:pPr>
        <w:autoSpaceDE w:val="0"/>
        <w:autoSpaceDN w:val="0"/>
        <w:adjustRightInd w:val="0"/>
        <w:spacing w:before="156" w:beforeLines="50" w:after="156" w:afterLines="50" w:line="560" w:lineRule="exact"/>
        <w:ind w:firstLine="640" w:firstLineChars="200"/>
        <w:jc w:val="left"/>
        <w:rPr>
          <w:rFonts w:ascii="黑体" w:hAnsi="黑体" w:eastAsia="黑体" w:cs="仿宋_GB2312"/>
          <w:color w:val="auto"/>
          <w:sz w:val="32"/>
          <w:szCs w:val="32"/>
        </w:rPr>
      </w:pPr>
      <w:r>
        <w:rPr>
          <w:rFonts w:hint="eastAsia" w:ascii="黑体" w:hAnsi="黑体" w:eastAsia="黑体" w:cs="仿宋_GB2312"/>
          <w:color w:val="auto"/>
          <w:sz w:val="32"/>
          <w:szCs w:val="32"/>
        </w:rPr>
        <w:t>八、其他应当说明的事项</w:t>
      </w:r>
    </w:p>
    <w:p w14:paraId="23A53EB2">
      <w:pPr>
        <w:spacing w:line="560" w:lineRule="exact"/>
        <w:ind w:firstLine="640" w:firstLineChars="200"/>
        <w:rPr>
          <w:rFonts w:ascii="仿宋_GB2312" w:hAnsi="宋体" w:eastAsia="仿宋_GB2312"/>
          <w:color w:val="auto"/>
          <w:sz w:val="32"/>
          <w:szCs w:val="28"/>
        </w:rPr>
      </w:pPr>
      <w:r>
        <w:rPr>
          <w:rFonts w:hint="eastAsia" w:ascii="仿宋_GB2312" w:hAnsi="宋体" w:eastAsia="仿宋_GB2312"/>
          <w:color w:val="auto"/>
          <w:sz w:val="32"/>
          <w:szCs w:val="28"/>
        </w:rPr>
        <w:t>无。</w:t>
      </w:r>
    </w:p>
    <w:p w14:paraId="1562F1AF">
      <w:pPr>
        <w:spacing w:line="560" w:lineRule="exact"/>
        <w:rPr>
          <w:rFonts w:ascii="仿宋_GB2312" w:hAnsi="仿宋" w:eastAsia="仿宋_GB2312"/>
          <w:bCs/>
          <w:color w:val="auto"/>
          <w:sz w:val="36"/>
          <w:szCs w:val="32"/>
        </w:rPr>
      </w:pPr>
    </w:p>
    <w:p w14:paraId="0FDE70D6">
      <w:pPr>
        <w:spacing w:line="560" w:lineRule="exact"/>
        <w:rPr>
          <w:rFonts w:ascii="仿宋_GB2312" w:hAnsi="仿宋" w:eastAsia="仿宋_GB2312"/>
          <w:bCs/>
          <w:color w:val="auto"/>
          <w:sz w:val="36"/>
          <w:szCs w:val="32"/>
        </w:rPr>
      </w:pPr>
    </w:p>
    <w:p w14:paraId="639B864D">
      <w:pPr>
        <w:wordWrap w:val="0"/>
        <w:spacing w:line="560" w:lineRule="exact"/>
        <w:jc w:val="right"/>
        <w:rPr>
          <w:rFonts w:ascii="仿宋_GB2312" w:hAnsi="宋体" w:eastAsia="仿宋_GB2312"/>
          <w:color w:val="auto"/>
          <w:sz w:val="32"/>
          <w:szCs w:val="28"/>
        </w:rPr>
      </w:pPr>
      <w:r>
        <w:rPr>
          <w:rFonts w:hint="eastAsia" w:ascii="仿宋_GB2312" w:hAnsi="宋体" w:eastAsia="仿宋_GB2312"/>
          <w:color w:val="auto"/>
          <w:sz w:val="32"/>
          <w:szCs w:val="28"/>
        </w:rPr>
        <w:t xml:space="preserve"> 团体标准《</w:t>
      </w:r>
      <w:r>
        <w:rPr>
          <w:rFonts w:hint="eastAsia" w:ascii="仿宋_GB2312" w:hAnsi="宋体" w:eastAsia="仿宋_GB2312"/>
          <w:color w:val="auto"/>
          <w:sz w:val="32"/>
          <w:szCs w:val="28"/>
          <w:lang w:eastAsia="zh-CN"/>
        </w:rPr>
        <w:t>竹药罐法治疗胃食管反流病技术规范</w:t>
      </w:r>
      <w:r>
        <w:rPr>
          <w:rFonts w:hint="eastAsia" w:ascii="仿宋_GB2312" w:hAnsi="宋体" w:eastAsia="仿宋_GB2312"/>
          <w:color w:val="auto"/>
          <w:sz w:val="32"/>
          <w:szCs w:val="28"/>
        </w:rPr>
        <w:t>》</w:t>
      </w:r>
    </w:p>
    <w:p w14:paraId="607C1987">
      <w:pPr>
        <w:wordWrap w:val="0"/>
        <w:spacing w:line="560" w:lineRule="exact"/>
        <w:jc w:val="right"/>
        <w:rPr>
          <w:rFonts w:ascii="仿宋_GB2312" w:hAnsi="宋体" w:eastAsia="仿宋_GB2312"/>
          <w:color w:val="auto"/>
          <w:sz w:val="32"/>
          <w:szCs w:val="28"/>
        </w:rPr>
      </w:pPr>
      <w:r>
        <w:rPr>
          <w:rFonts w:hint="eastAsia" w:ascii="仿宋_GB2312" w:hAnsi="宋体" w:eastAsia="仿宋_GB2312"/>
          <w:color w:val="auto"/>
          <w:sz w:val="32"/>
          <w:szCs w:val="28"/>
        </w:rPr>
        <w:t xml:space="preserve">标准编制工作组 </w:t>
      </w:r>
      <w:r>
        <w:rPr>
          <w:rFonts w:ascii="仿宋_GB2312" w:hAnsi="宋体" w:eastAsia="仿宋_GB2312"/>
          <w:color w:val="auto"/>
          <w:sz w:val="32"/>
          <w:szCs w:val="28"/>
        </w:rPr>
        <w:t xml:space="preserve">        </w:t>
      </w:r>
    </w:p>
    <w:p w14:paraId="13EC3CEB">
      <w:pPr>
        <w:wordWrap w:val="0"/>
        <w:spacing w:line="560" w:lineRule="exact"/>
        <w:jc w:val="right"/>
        <w:rPr>
          <w:rFonts w:ascii="仿宋_GB2312" w:hAnsi="宋体" w:eastAsia="仿宋_GB2312"/>
          <w:color w:val="auto"/>
          <w:sz w:val="32"/>
          <w:szCs w:val="28"/>
        </w:rPr>
      </w:pPr>
      <w:r>
        <w:rPr>
          <w:rFonts w:hint="eastAsia" w:ascii="仿宋_GB2312" w:hAnsi="宋体" w:eastAsia="仿宋_GB2312"/>
          <w:color w:val="auto"/>
          <w:sz w:val="32"/>
          <w:szCs w:val="28"/>
        </w:rPr>
        <w:t>202</w:t>
      </w:r>
      <w:r>
        <w:rPr>
          <w:rFonts w:ascii="仿宋_GB2312" w:hAnsi="宋体" w:eastAsia="仿宋_GB2312"/>
          <w:color w:val="auto"/>
          <w:sz w:val="32"/>
          <w:szCs w:val="28"/>
        </w:rPr>
        <w:t>4</w:t>
      </w:r>
      <w:r>
        <w:rPr>
          <w:rFonts w:hint="eastAsia" w:ascii="仿宋_GB2312" w:hAnsi="宋体" w:eastAsia="仿宋_GB2312"/>
          <w:color w:val="auto"/>
          <w:sz w:val="32"/>
          <w:szCs w:val="28"/>
        </w:rPr>
        <w:t>年</w:t>
      </w:r>
      <w:r>
        <w:rPr>
          <w:rFonts w:hint="eastAsia" w:ascii="仿宋_GB2312" w:hAnsi="宋体" w:eastAsia="仿宋_GB2312"/>
          <w:color w:val="auto"/>
          <w:sz w:val="32"/>
          <w:szCs w:val="28"/>
          <w:lang w:val="en-US" w:eastAsia="zh-CN"/>
        </w:rPr>
        <w:t>10</w:t>
      </w:r>
      <w:r>
        <w:rPr>
          <w:rFonts w:hint="eastAsia" w:ascii="仿宋_GB2312" w:hAnsi="宋体" w:eastAsia="仿宋_GB2312"/>
          <w:color w:val="auto"/>
          <w:sz w:val="32"/>
          <w:szCs w:val="28"/>
        </w:rPr>
        <w:t>月</w:t>
      </w:r>
      <w:r>
        <w:rPr>
          <w:rFonts w:ascii="仿宋_GB2312" w:hAnsi="宋体" w:eastAsia="仿宋_GB2312"/>
          <w:color w:val="auto"/>
          <w:sz w:val="32"/>
          <w:szCs w:val="28"/>
        </w:rPr>
        <w:t>2</w:t>
      </w:r>
      <w:r>
        <w:rPr>
          <w:rFonts w:hint="eastAsia" w:ascii="仿宋_GB2312" w:hAnsi="宋体" w:eastAsia="仿宋_GB2312"/>
          <w:color w:val="auto"/>
          <w:sz w:val="32"/>
          <w:szCs w:val="28"/>
          <w:lang w:val="en-US" w:eastAsia="zh-CN"/>
        </w:rPr>
        <w:t>9</w:t>
      </w:r>
      <w:r>
        <w:rPr>
          <w:rFonts w:hint="eastAsia" w:ascii="仿宋_GB2312" w:hAnsi="宋体" w:eastAsia="仿宋_GB2312"/>
          <w:color w:val="auto"/>
          <w:sz w:val="32"/>
          <w:szCs w:val="28"/>
        </w:rPr>
        <w:t>日</w:t>
      </w:r>
      <w:r>
        <w:rPr>
          <w:rFonts w:hint="eastAsia" w:ascii="仿宋_GB2312" w:hAnsi="宋体" w:eastAsia="仿宋_GB2312"/>
          <w:color w:val="auto"/>
          <w:sz w:val="32"/>
          <w:szCs w:val="28"/>
        </w:rPr>
        <w:t xml:space="preserve">       </w:t>
      </w:r>
      <w:r>
        <w:rPr>
          <w:rFonts w:ascii="仿宋_GB2312" w:hAnsi="宋体" w:eastAsia="仿宋_GB2312"/>
          <w:color w:val="auto"/>
          <w:sz w:val="32"/>
          <w:szCs w:val="28"/>
        </w:rPr>
        <w:t xml:space="preserve"> </w:t>
      </w:r>
    </w:p>
    <w:sectPr>
      <w:footerReference r:id="rId3" w:type="default"/>
      <w:pgSz w:w="11906" w:h="16838"/>
      <w:pgMar w:top="1474" w:right="1474" w:bottom="147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docPartObj>
        <w:docPartGallery w:val="autotext"/>
      </w:docPartObj>
    </w:sdtPr>
    <w:sdtContent>
      <w:p w14:paraId="2BE1229F">
        <w:pPr>
          <w:pStyle w:val="3"/>
          <w:jc w:val="center"/>
        </w:pPr>
        <w:r>
          <w:fldChar w:fldCharType="begin"/>
        </w:r>
        <w:r>
          <w:instrText xml:space="preserve">PAGE   \* MERGEFORMAT</w:instrText>
        </w:r>
        <w:r>
          <w:fldChar w:fldCharType="separate"/>
        </w:r>
        <w:r>
          <w:rPr>
            <w:lang w:val="zh-CN"/>
          </w:rPr>
          <w:t>7</w:t>
        </w:r>
        <w:r>
          <w:fldChar w:fldCharType="end"/>
        </w:r>
      </w:p>
    </w:sdtContent>
  </w:sdt>
  <w:p w14:paraId="76F9E80E">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D0CCE2"/>
    <w:multiLevelType w:val="singleLevel"/>
    <w:tmpl w:val="B8D0CCE2"/>
    <w:lvl w:ilvl="0" w:tentative="0">
      <w:start w:val="4"/>
      <w:numFmt w:val="decimal"/>
      <w:suff w:val="nothing"/>
      <w:lvlText w:val="（%1）"/>
      <w:lvlJc w:val="left"/>
    </w:lvl>
  </w:abstractNum>
  <w:abstractNum w:abstractNumId="1">
    <w:nsid w:val="079102AD"/>
    <w:multiLevelType w:val="multilevel"/>
    <w:tmpl w:val="079102AD"/>
    <w:lvl w:ilvl="0" w:tentative="0">
      <w:start w:val="1"/>
      <w:numFmt w:val="decimal"/>
      <w:pStyle w:val="2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DDE2B46"/>
    <w:multiLevelType w:val="multilevel"/>
    <w:tmpl w:val="0DDE2B46"/>
    <w:lvl w:ilvl="0" w:tentative="0">
      <w:start w:val="1"/>
      <w:numFmt w:val="lowerLetter"/>
      <w:pStyle w:val="24"/>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3">
    <w:nsid w:val="120F0D74"/>
    <w:multiLevelType w:val="multilevel"/>
    <w:tmpl w:val="120F0D74"/>
    <w:lvl w:ilvl="0" w:tentative="0">
      <w:start w:val="1"/>
      <w:numFmt w:val="japaneseCounting"/>
      <w:lvlText w:val="（%1）"/>
      <w:lvlJc w:val="left"/>
      <w:pPr>
        <w:ind w:left="1005" w:hanging="100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3893638"/>
    <w:multiLevelType w:val="singleLevel"/>
    <w:tmpl w:val="13893638"/>
    <w:lvl w:ilvl="0" w:tentative="0">
      <w:start w:val="2"/>
      <w:numFmt w:val="decimal"/>
      <w:suff w:val="nothing"/>
      <w:lvlText w:val="（%1）"/>
      <w:lvlJc w:val="left"/>
    </w:lvl>
  </w:abstractNum>
  <w:abstractNum w:abstractNumId="5">
    <w:nsid w:val="1DBF583A"/>
    <w:multiLevelType w:val="multilevel"/>
    <w:tmpl w:val="1DBF583A"/>
    <w:lvl w:ilvl="0" w:tentative="0">
      <w:start w:val="1"/>
      <w:numFmt w:val="decimal"/>
      <w:pStyle w:val="2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1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4"/>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6"/>
      <w:suff w:val="nothing"/>
      <w:lvlText w:val="%1.%2.%3　"/>
      <w:lvlJc w:val="left"/>
      <w:pPr>
        <w:ind w:left="0" w:firstLine="0"/>
      </w:pPr>
      <w:rPr>
        <w:rFonts w:hint="eastAsia" w:ascii="黑体" w:hAnsi="Times New Roman" w:eastAsia="黑体"/>
        <w:b w:val="0"/>
        <w:i w:val="0"/>
        <w:sz w:val="21"/>
      </w:rPr>
    </w:lvl>
    <w:lvl w:ilvl="3" w:tentative="0">
      <w:start w:val="1"/>
      <w:numFmt w:val="decimal"/>
      <w:pStyle w:val="17"/>
      <w:suff w:val="nothing"/>
      <w:lvlText w:val="%1.%2.%3.%4　"/>
      <w:lvlJc w:val="left"/>
      <w:pPr>
        <w:ind w:left="0" w:firstLine="0"/>
      </w:pPr>
      <w:rPr>
        <w:rFonts w:hint="eastAsia" w:ascii="黑体" w:hAnsi="Times New Roman" w:eastAsia="黑体"/>
        <w:b w:val="0"/>
        <w:i w:val="0"/>
        <w:sz w:val="21"/>
      </w:rPr>
    </w:lvl>
    <w:lvl w:ilvl="4" w:tentative="0">
      <w:start w:val="1"/>
      <w:numFmt w:val="decimal"/>
      <w:pStyle w:val="18"/>
      <w:suff w:val="nothing"/>
      <w:lvlText w:val="%1.%2.%3.%4.%5　"/>
      <w:lvlJc w:val="left"/>
      <w:pPr>
        <w:ind w:left="0" w:firstLine="0"/>
      </w:pPr>
      <w:rPr>
        <w:rFonts w:hint="eastAsia" w:ascii="黑体" w:hAnsi="Times New Roman" w:eastAsia="黑体"/>
        <w:b w:val="0"/>
        <w:i w:val="0"/>
        <w:sz w:val="21"/>
      </w:rPr>
    </w:lvl>
    <w:lvl w:ilvl="5" w:tentative="0">
      <w:start w:val="1"/>
      <w:numFmt w:val="decimal"/>
      <w:pStyle w:val="1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tentative="0">
      <w:start w:val="1"/>
      <w:numFmt w:val="upperLetter"/>
      <w:pStyle w:val="21"/>
      <w:suff w:val="space"/>
      <w:lvlText w:val="%1"/>
      <w:lvlJc w:val="left"/>
      <w:pPr>
        <w:ind w:left="623" w:hanging="425"/>
      </w:pPr>
      <w:rPr>
        <w:rFonts w:hint="eastAsia"/>
      </w:rPr>
    </w:lvl>
    <w:lvl w:ilvl="1" w:tentative="0">
      <w:start w:val="1"/>
      <w:numFmt w:val="decimal"/>
      <w:pStyle w:val="2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4FB73EC2"/>
    <w:multiLevelType w:val="singleLevel"/>
    <w:tmpl w:val="4FB73EC2"/>
    <w:lvl w:ilvl="0" w:tentative="0">
      <w:start w:val="5"/>
      <w:numFmt w:val="decimal"/>
      <w:suff w:val="nothing"/>
      <w:lvlText w:val="%1）"/>
      <w:lvlJc w:val="left"/>
    </w:lvl>
  </w:abstractNum>
  <w:abstractNum w:abstractNumId="9">
    <w:nsid w:val="557C2AF5"/>
    <w:multiLevelType w:val="multilevel"/>
    <w:tmpl w:val="557C2AF5"/>
    <w:lvl w:ilvl="0" w:tentative="0">
      <w:start w:val="1"/>
      <w:numFmt w:val="decimal"/>
      <w:pStyle w:val="1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1">
    <w:nsid w:val="646260FA"/>
    <w:multiLevelType w:val="multilevel"/>
    <w:tmpl w:val="646260FA"/>
    <w:lvl w:ilvl="0" w:tentative="0">
      <w:start w:val="1"/>
      <w:numFmt w:val="decimal"/>
      <w:pStyle w:val="1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11"/>
  </w:num>
  <w:num w:numId="2">
    <w:abstractNumId w:val="9"/>
  </w:num>
  <w:num w:numId="3">
    <w:abstractNumId w:val="6"/>
  </w:num>
  <w:num w:numId="4">
    <w:abstractNumId w:val="1"/>
  </w:num>
  <w:num w:numId="5">
    <w:abstractNumId w:val="7"/>
  </w:num>
  <w:num w:numId="6">
    <w:abstractNumId w:val="5"/>
  </w:num>
  <w:num w:numId="7">
    <w:abstractNumId w:val="2"/>
  </w:num>
  <w:num w:numId="8">
    <w:abstractNumId w:val="10"/>
  </w:num>
  <w:num w:numId="9">
    <w:abstractNumId w:val="3"/>
  </w:num>
  <w:num w:numId="10">
    <w:abstractNumId w:val="8"/>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yMDFmZTBlNTQ5MGM0YTA0MzQ2Y2Y5ODE1OGMxMWQifQ=="/>
  </w:docVars>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7D7B"/>
    <w:rsid w:val="00053B0B"/>
    <w:rsid w:val="000576D0"/>
    <w:rsid w:val="00057758"/>
    <w:rsid w:val="00060FE2"/>
    <w:rsid w:val="0007330D"/>
    <w:rsid w:val="00073F72"/>
    <w:rsid w:val="00074EB1"/>
    <w:rsid w:val="00076BBA"/>
    <w:rsid w:val="00080F2F"/>
    <w:rsid w:val="0008145A"/>
    <w:rsid w:val="0009177A"/>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7167"/>
    <w:rsid w:val="001708F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B0E92"/>
    <w:rsid w:val="001B36E5"/>
    <w:rsid w:val="001B3B17"/>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7235B"/>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E7F"/>
    <w:rsid w:val="004C4136"/>
    <w:rsid w:val="004D155D"/>
    <w:rsid w:val="004D2302"/>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5F7613"/>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5CA4"/>
    <w:rsid w:val="00716EAC"/>
    <w:rsid w:val="00720395"/>
    <w:rsid w:val="00722AAE"/>
    <w:rsid w:val="0072448B"/>
    <w:rsid w:val="007245EF"/>
    <w:rsid w:val="00726016"/>
    <w:rsid w:val="00726F82"/>
    <w:rsid w:val="007432F4"/>
    <w:rsid w:val="0075401E"/>
    <w:rsid w:val="00755471"/>
    <w:rsid w:val="007556A8"/>
    <w:rsid w:val="00756686"/>
    <w:rsid w:val="00760DDA"/>
    <w:rsid w:val="00760FBD"/>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25BEF"/>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3328"/>
    <w:rsid w:val="00995822"/>
    <w:rsid w:val="00997A44"/>
    <w:rsid w:val="009A1FC7"/>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5F3F"/>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AF717D"/>
    <w:rsid w:val="00B0152E"/>
    <w:rsid w:val="00B06F77"/>
    <w:rsid w:val="00B17EA4"/>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B0ED6"/>
    <w:rsid w:val="00BB1C0A"/>
    <w:rsid w:val="00BB4376"/>
    <w:rsid w:val="00BB4A45"/>
    <w:rsid w:val="00BB4B74"/>
    <w:rsid w:val="00BB6FED"/>
    <w:rsid w:val="00BC41B2"/>
    <w:rsid w:val="00BC45B6"/>
    <w:rsid w:val="00BC4F9E"/>
    <w:rsid w:val="00BE0799"/>
    <w:rsid w:val="00BE26D9"/>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C1221"/>
    <w:rsid w:val="00CC4EE7"/>
    <w:rsid w:val="00CD4CC6"/>
    <w:rsid w:val="00CD5C22"/>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F670C"/>
    <w:rsid w:val="00F11F09"/>
    <w:rsid w:val="00F1455B"/>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D7"/>
    <w:rsid w:val="00FF3775"/>
    <w:rsid w:val="01CE5D1C"/>
    <w:rsid w:val="039E595D"/>
    <w:rsid w:val="070F07F6"/>
    <w:rsid w:val="08083403"/>
    <w:rsid w:val="098767F9"/>
    <w:rsid w:val="09BE5E2A"/>
    <w:rsid w:val="0A091F73"/>
    <w:rsid w:val="0A8504E9"/>
    <w:rsid w:val="0D92619C"/>
    <w:rsid w:val="0F412CA9"/>
    <w:rsid w:val="0FD566D2"/>
    <w:rsid w:val="13B2170D"/>
    <w:rsid w:val="13B97480"/>
    <w:rsid w:val="14034EB5"/>
    <w:rsid w:val="14870494"/>
    <w:rsid w:val="15085E8C"/>
    <w:rsid w:val="15174F60"/>
    <w:rsid w:val="15342460"/>
    <w:rsid w:val="1556095A"/>
    <w:rsid w:val="167D7F24"/>
    <w:rsid w:val="17306AB5"/>
    <w:rsid w:val="17373F64"/>
    <w:rsid w:val="19A054D6"/>
    <w:rsid w:val="1B0717C8"/>
    <w:rsid w:val="1BE33681"/>
    <w:rsid w:val="21862EC6"/>
    <w:rsid w:val="22E569AE"/>
    <w:rsid w:val="237A2B2A"/>
    <w:rsid w:val="29436C92"/>
    <w:rsid w:val="29AD7F9E"/>
    <w:rsid w:val="2C4F36F5"/>
    <w:rsid w:val="2D5F22BD"/>
    <w:rsid w:val="2FF37D11"/>
    <w:rsid w:val="3013049D"/>
    <w:rsid w:val="30343481"/>
    <w:rsid w:val="332C3D99"/>
    <w:rsid w:val="34C82AEB"/>
    <w:rsid w:val="365875C5"/>
    <w:rsid w:val="39356049"/>
    <w:rsid w:val="3B4E60E4"/>
    <w:rsid w:val="3BFE2074"/>
    <w:rsid w:val="3CC63BD9"/>
    <w:rsid w:val="3F8C7277"/>
    <w:rsid w:val="3FA0222F"/>
    <w:rsid w:val="42D769B6"/>
    <w:rsid w:val="44F600D3"/>
    <w:rsid w:val="45617704"/>
    <w:rsid w:val="48B048DB"/>
    <w:rsid w:val="4B8C0594"/>
    <w:rsid w:val="4C0F7B1B"/>
    <w:rsid w:val="4CFE380A"/>
    <w:rsid w:val="4D862B8C"/>
    <w:rsid w:val="4DFF35F5"/>
    <w:rsid w:val="4EF47599"/>
    <w:rsid w:val="4FAD36C1"/>
    <w:rsid w:val="4FE3578A"/>
    <w:rsid w:val="51F02CE0"/>
    <w:rsid w:val="52E3570F"/>
    <w:rsid w:val="54E94B5B"/>
    <w:rsid w:val="55661639"/>
    <w:rsid w:val="55761622"/>
    <w:rsid w:val="58296419"/>
    <w:rsid w:val="5AC67777"/>
    <w:rsid w:val="5BD857FA"/>
    <w:rsid w:val="5C080481"/>
    <w:rsid w:val="5E202145"/>
    <w:rsid w:val="5F621BCD"/>
    <w:rsid w:val="6031647B"/>
    <w:rsid w:val="62F74A7A"/>
    <w:rsid w:val="668E2223"/>
    <w:rsid w:val="683026D9"/>
    <w:rsid w:val="693F388B"/>
    <w:rsid w:val="6C705F6D"/>
    <w:rsid w:val="6C8815DE"/>
    <w:rsid w:val="6DBA21A1"/>
    <w:rsid w:val="72084695"/>
    <w:rsid w:val="73731F46"/>
    <w:rsid w:val="78AF3D07"/>
    <w:rsid w:val="7AF5051C"/>
    <w:rsid w:val="7BBA680A"/>
    <w:rsid w:val="7BE826AE"/>
    <w:rsid w:val="7CCF532E"/>
    <w:rsid w:val="7E00338F"/>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35"/>
    <w:semiHidden/>
    <w:unhideWhenUsed/>
    <w:uiPriority w:val="0"/>
    <w:rPr>
      <w:sz w:val="18"/>
      <w:szCs w:val="18"/>
    </w:rPr>
  </w:style>
  <w:style w:type="paragraph" w:styleId="3">
    <w:name w:val="footer"/>
    <w:basedOn w:val="1"/>
    <w:link w:val="27"/>
    <w:qFormat/>
    <w:uiPriority w:val="99"/>
    <w:pPr>
      <w:tabs>
        <w:tab w:val="center" w:pos="4153"/>
        <w:tab w:val="right" w:pos="8306"/>
      </w:tabs>
      <w:snapToGrid w:val="0"/>
      <w:jc w:val="left"/>
    </w:pPr>
    <w:rPr>
      <w:sz w:val="18"/>
      <w:szCs w:val="18"/>
    </w:rPr>
  </w:style>
  <w:style w:type="paragraph" w:styleId="4">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100" w:beforeAutospacing="1" w:after="100" w:afterAutospacing="1"/>
      <w:jc w:val="left"/>
    </w:pPr>
    <w:rPr>
      <w:kern w:val="0"/>
      <w:sz w:val="24"/>
    </w:rPr>
  </w:style>
  <w:style w:type="table" w:styleId="7">
    <w:name w:val="Table Grid"/>
    <w:basedOn w:val="6"/>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Hyperlink"/>
    <w:basedOn w:val="8"/>
    <w:unhideWhenUsed/>
    <w:qFormat/>
    <w:uiPriority w:val="99"/>
    <w:rPr>
      <w:color w:val="0000FF"/>
      <w:u w:val="single"/>
    </w:rPr>
  </w:style>
  <w:style w:type="paragraph" w:customStyle="1" w:styleId="10">
    <w:name w:val="段"/>
    <w:link w:val="2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
    <w:name w:val="正文表标题"/>
    <w:next w:val="10"/>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2">
    <w:name w:val="正文图标题"/>
    <w:next w:val="10"/>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4">
    <w:name w:val="一级条标题"/>
    <w:next w:val="10"/>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15">
    <w:name w:val="章标题"/>
    <w:next w:val="10"/>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6">
    <w:name w:val="二级条标题"/>
    <w:basedOn w:val="14"/>
    <w:next w:val="10"/>
    <w:qFormat/>
    <w:uiPriority w:val="0"/>
    <w:pPr>
      <w:numPr>
        <w:ilvl w:val="2"/>
      </w:numPr>
      <w:spacing w:before="50" w:after="50"/>
      <w:outlineLvl w:val="3"/>
    </w:pPr>
  </w:style>
  <w:style w:type="paragraph" w:customStyle="1" w:styleId="17">
    <w:name w:val="三级条标题"/>
    <w:basedOn w:val="16"/>
    <w:next w:val="10"/>
    <w:qFormat/>
    <w:uiPriority w:val="0"/>
    <w:pPr>
      <w:numPr>
        <w:ilvl w:val="3"/>
      </w:numPr>
      <w:outlineLvl w:val="4"/>
    </w:pPr>
  </w:style>
  <w:style w:type="paragraph" w:customStyle="1" w:styleId="18">
    <w:name w:val="四级条标题"/>
    <w:basedOn w:val="17"/>
    <w:next w:val="10"/>
    <w:qFormat/>
    <w:uiPriority w:val="0"/>
    <w:pPr>
      <w:numPr>
        <w:ilvl w:val="4"/>
      </w:numPr>
      <w:outlineLvl w:val="5"/>
    </w:pPr>
  </w:style>
  <w:style w:type="paragraph" w:customStyle="1" w:styleId="19">
    <w:name w:val="五级条标题"/>
    <w:basedOn w:val="18"/>
    <w:next w:val="10"/>
    <w:qFormat/>
    <w:uiPriority w:val="0"/>
    <w:pPr>
      <w:numPr>
        <w:ilvl w:val="5"/>
      </w:numPr>
      <w:outlineLvl w:val="6"/>
    </w:pPr>
  </w:style>
  <w:style w:type="paragraph" w:customStyle="1" w:styleId="20">
    <w:name w:val="注："/>
    <w:next w:val="10"/>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1">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2">
    <w:name w:val="附录图标题"/>
    <w:basedOn w:val="1"/>
    <w:next w:val="10"/>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3">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4">
    <w:name w:val="图表脚注说明"/>
    <w:basedOn w:val="1"/>
    <w:qFormat/>
    <w:uiPriority w:val="0"/>
    <w:pPr>
      <w:numPr>
        <w:ilvl w:val="0"/>
        <w:numId w:val="7"/>
      </w:numPr>
    </w:pPr>
    <w:rPr>
      <w:rFonts w:ascii="宋体"/>
      <w:sz w:val="18"/>
      <w:szCs w:val="18"/>
    </w:rPr>
  </w:style>
  <w:style w:type="character" w:customStyle="1" w:styleId="25">
    <w:name w:val="段 Char"/>
    <w:basedOn w:val="8"/>
    <w:link w:val="10"/>
    <w:qFormat/>
    <w:uiPriority w:val="0"/>
    <w:rPr>
      <w:rFonts w:ascii="宋体"/>
      <w:sz w:val="21"/>
      <w:lang w:val="en-US" w:eastAsia="zh-CN" w:bidi="ar-SA"/>
    </w:rPr>
  </w:style>
  <w:style w:type="character" w:customStyle="1" w:styleId="26">
    <w:name w:val="页眉 字符"/>
    <w:basedOn w:val="8"/>
    <w:link w:val="4"/>
    <w:qFormat/>
    <w:uiPriority w:val="0"/>
    <w:rPr>
      <w:kern w:val="2"/>
      <w:sz w:val="18"/>
      <w:szCs w:val="18"/>
    </w:rPr>
  </w:style>
  <w:style w:type="character" w:customStyle="1" w:styleId="27">
    <w:name w:val="页脚 字符"/>
    <w:basedOn w:val="8"/>
    <w:link w:val="3"/>
    <w:qFormat/>
    <w:uiPriority w:val="99"/>
    <w:rPr>
      <w:kern w:val="2"/>
      <w:sz w:val="18"/>
      <w:szCs w:val="18"/>
    </w:rPr>
  </w:style>
  <w:style w:type="paragraph" w:customStyle="1" w:styleId="28">
    <w:name w:val="附录表标题"/>
    <w:basedOn w:val="1"/>
    <w:next w:val="10"/>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29">
    <w:name w:val="List Paragraph"/>
    <w:basedOn w:val="1"/>
    <w:unhideWhenUsed/>
    <w:qFormat/>
    <w:uiPriority w:val="34"/>
    <w:pPr>
      <w:ind w:firstLine="420" w:firstLineChars="200"/>
    </w:pPr>
  </w:style>
  <w:style w:type="paragraph" w:customStyle="1" w:styleId="3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2">
    <w:name w:val="发布"/>
    <w:qFormat/>
    <w:uiPriority w:val="0"/>
    <w:rPr>
      <w:rFonts w:ascii="黑体" w:eastAsia="黑体"/>
      <w:spacing w:val="22"/>
      <w:w w:val="100"/>
      <w:position w:val="3"/>
      <w:sz w:val="28"/>
    </w:rPr>
  </w:style>
  <w:style w:type="paragraph" w:customStyle="1" w:styleId="33">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5">
    <w:name w:val="批注框文本 字符"/>
    <w:basedOn w:val="8"/>
    <w:link w:val="2"/>
    <w:semiHidden/>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8EBD0-6210-461E-8603-E2FAAA0A2F41}">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29</Pages>
  <Words>3326</Words>
  <Characters>3666</Characters>
  <Lines>2</Lines>
  <Paragraphs>5</Paragraphs>
  <TotalTime>1</TotalTime>
  <ScaleCrop>false</ScaleCrop>
  <LinksUpToDate>false</LinksUpToDate>
  <CharactersWithSpaces>3697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誰念誰川</cp:lastModifiedBy>
  <cp:lastPrinted>2019-07-10T11:21:00Z</cp:lastPrinted>
  <dcterms:modified xsi:type="dcterms:W3CDTF">2024-10-30T05:33:08Z</dcterms:modified>
  <dc:title>广西地方标准《脱氢枞酸》（征求意见稿）</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484DF7F1BEB842158BCD0584349217B5</vt:lpwstr>
  </property>
</Properties>
</file>